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215BB" w14:textId="67B55A44" w:rsidR="00921D51" w:rsidRDefault="00921D51" w:rsidP="00921D51">
      <w:pPr>
        <w:pStyle w:val="Heading1"/>
        <w:jc w:val="center"/>
      </w:pPr>
      <w:r>
        <w:t xml:space="preserve">Project Timeline </w:t>
      </w:r>
      <w:commentRangeStart w:id="0"/>
      <w:r>
        <w:t>(1 page maximum)</w:t>
      </w:r>
      <w:commentRangeEnd w:id="0"/>
      <w:r>
        <w:rPr>
          <w:rStyle w:val="CommentReference"/>
          <w:rFonts w:eastAsiaTheme="minorHAnsi" w:cstheme="minorBidi"/>
          <w:b w:val="0"/>
          <w:color w:val="auto"/>
        </w:rPr>
        <w:commentReference w:id="0"/>
      </w:r>
    </w:p>
    <w:p w14:paraId="0352E879" w14:textId="3F3A7046" w:rsidR="007C1DB4" w:rsidRDefault="00DF1DE9" w:rsidP="00A34A96">
      <w:pPr>
        <w:pStyle w:val="Heading1"/>
      </w:pPr>
      <w:r w:rsidRPr="00DF1DE9">
        <w:t>Sample Tasks/Milestones to Include in Timeline</w:t>
      </w:r>
      <w:r w:rsidR="00FE7CA0">
        <w:t xml:space="preserve"> </w:t>
      </w:r>
    </w:p>
    <w:p w14:paraId="016D8209" w14:textId="2BDB1930" w:rsidR="00FB1F33" w:rsidRPr="007C1DB4" w:rsidRDefault="007C1DB4" w:rsidP="007C1DB4">
      <w:pPr>
        <w:pStyle w:val="Heading2"/>
        <w:rPr>
          <w:i/>
          <w:iCs/>
        </w:rPr>
      </w:pPr>
      <w:r w:rsidRPr="007C1DB4">
        <w:rPr>
          <w:i/>
          <w:iCs/>
        </w:rPr>
        <w:t>I</w:t>
      </w:r>
      <w:r w:rsidR="00FE7CA0" w:rsidRPr="007C1DB4">
        <w:rPr>
          <w:i/>
          <w:iCs/>
        </w:rPr>
        <w:t>ndicate which steps have been completed</w:t>
      </w:r>
      <w:r w:rsidRPr="007C1DB4">
        <w:rPr>
          <w:i/>
          <w:iCs/>
        </w:rPr>
        <w:t xml:space="preserve"> within the timeline</w:t>
      </w:r>
      <w:r w:rsidR="00AD718D">
        <w:rPr>
          <w:i/>
          <w:iCs/>
        </w:rPr>
        <w:t xml:space="preserve"> as well as noting a timeline for actions that need to be completed</w:t>
      </w:r>
      <w:r w:rsidRPr="007C1DB4">
        <w:rPr>
          <w:i/>
          <w:iCs/>
        </w:rPr>
        <w:t>.</w:t>
      </w:r>
    </w:p>
    <w:p w14:paraId="10C96ED7" w14:textId="1AADE3FB" w:rsidR="00DF1DE9" w:rsidRPr="00DF1DE9" w:rsidRDefault="00DF1DE9">
      <w:pPr>
        <w:rPr>
          <w:sz w:val="24"/>
          <w:szCs w:val="24"/>
        </w:rPr>
      </w:pPr>
    </w:p>
    <w:p w14:paraId="4DF48DBD" w14:textId="06EB02D1" w:rsidR="00DF1DE9" w:rsidRPr="00DF1DE9" w:rsidRDefault="00DF1DE9" w:rsidP="00A34A96">
      <w:pPr>
        <w:pStyle w:val="Heading2"/>
        <w:rPr>
          <w:rFonts w:cstheme="minorHAnsi"/>
        </w:rPr>
      </w:pPr>
      <w:r w:rsidRPr="00DF1DE9">
        <w:t>Acquisition</w:t>
      </w:r>
    </w:p>
    <w:p w14:paraId="2ACC6AC1" w14:textId="3A8B36ED" w:rsidR="00DF1DE9" w:rsidRPr="00DF1DE9" w:rsidRDefault="00DF1DE9" w:rsidP="00DF1DE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  <w:r w:rsidRPr="00DF1DE9">
        <w:rPr>
          <w:rFonts w:eastAsia="Times New Roman" w:cstheme="minorHAnsi"/>
          <w:color w:val="111111"/>
          <w:sz w:val="24"/>
          <w:szCs w:val="24"/>
        </w:rPr>
        <w:t>Propo</w:t>
      </w:r>
      <w:r w:rsidR="000445A9">
        <w:rPr>
          <w:rFonts w:eastAsia="Times New Roman" w:cstheme="minorHAnsi"/>
          <w:color w:val="111111"/>
          <w:sz w:val="24"/>
          <w:szCs w:val="24"/>
        </w:rPr>
        <w:t>sal and Planning Process</w:t>
      </w:r>
    </w:p>
    <w:p w14:paraId="444C709E" w14:textId="69195B2C" w:rsidR="00DF1DE9" w:rsidRPr="00DF1DE9" w:rsidRDefault="00A34A96" w:rsidP="00DF1DE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Appraisals (</w:t>
      </w:r>
      <w:r>
        <w:t>UASFLA Standards)</w:t>
      </w:r>
    </w:p>
    <w:p w14:paraId="43894360" w14:textId="1625E3F6" w:rsidR="00DF1DE9" w:rsidRPr="00DF1DE9" w:rsidRDefault="00A34A96" w:rsidP="00DF1DE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N</w:t>
      </w:r>
      <w:r w:rsidR="00DF1DE9" w:rsidRPr="00DF1DE9">
        <w:rPr>
          <w:rFonts w:eastAsia="Times New Roman" w:cstheme="minorHAnsi"/>
          <w:color w:val="111111"/>
          <w:sz w:val="24"/>
          <w:szCs w:val="24"/>
        </w:rPr>
        <w:t>egotiations</w:t>
      </w:r>
      <w:r>
        <w:rPr>
          <w:rFonts w:eastAsia="Times New Roman" w:cstheme="minorHAnsi"/>
          <w:color w:val="111111"/>
          <w:sz w:val="24"/>
          <w:szCs w:val="24"/>
        </w:rPr>
        <w:t>/Purchase Offer</w:t>
      </w:r>
      <w:r w:rsidR="00DF1DE9" w:rsidRPr="00DF1DE9">
        <w:rPr>
          <w:rFonts w:eastAsia="Times New Roman" w:cstheme="minorHAnsi"/>
          <w:color w:val="111111"/>
          <w:sz w:val="24"/>
          <w:szCs w:val="24"/>
        </w:rPr>
        <w:t xml:space="preserve"> with landowners</w:t>
      </w:r>
      <w:r>
        <w:rPr>
          <w:rFonts w:eastAsia="Times New Roman" w:cstheme="minorHAnsi"/>
          <w:color w:val="111111"/>
          <w:sz w:val="24"/>
          <w:szCs w:val="24"/>
        </w:rPr>
        <w:t xml:space="preserve"> if necessary</w:t>
      </w:r>
    </w:p>
    <w:p w14:paraId="08823F25" w14:textId="77777777" w:rsidR="00DF1DE9" w:rsidRPr="00DF1DE9" w:rsidRDefault="00DF1DE9">
      <w:pPr>
        <w:rPr>
          <w:sz w:val="24"/>
          <w:szCs w:val="24"/>
          <w:u w:val="single"/>
        </w:rPr>
      </w:pPr>
    </w:p>
    <w:p w14:paraId="18F49CB1" w14:textId="0119E5B7" w:rsidR="00DF1DE9" w:rsidRPr="00DF1DE9" w:rsidRDefault="00DF1DE9" w:rsidP="00A34A96">
      <w:pPr>
        <w:pStyle w:val="Heading2"/>
      </w:pPr>
      <w:r w:rsidRPr="00DF1DE9">
        <w:t>Include all that apply Development</w:t>
      </w:r>
    </w:p>
    <w:p w14:paraId="69857578" w14:textId="5EE882F3" w:rsidR="00DF1DE9" w:rsidRP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Survey Work</w:t>
      </w:r>
    </w:p>
    <w:p w14:paraId="0A2937F1" w14:textId="3B14F299" w:rsidR="00DF1DE9" w:rsidRPr="00407579" w:rsidRDefault="00DF1DE9" w:rsidP="00DF1DE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DF1DE9">
        <w:rPr>
          <w:sz w:val="24"/>
          <w:szCs w:val="24"/>
        </w:rPr>
        <w:t>Environmental Review Compliance data collection (NEPA</w:t>
      </w:r>
      <w:r w:rsidR="00AD718D">
        <w:rPr>
          <w:sz w:val="24"/>
          <w:szCs w:val="24"/>
        </w:rPr>
        <w:t xml:space="preserve"> or SEQA</w:t>
      </w:r>
      <w:r w:rsidRPr="00DF1DE9">
        <w:rPr>
          <w:sz w:val="24"/>
          <w:szCs w:val="24"/>
        </w:rPr>
        <w:t xml:space="preserve">) </w:t>
      </w:r>
    </w:p>
    <w:p w14:paraId="2DABA91B" w14:textId="1249729C" w:rsidR="00407579" w:rsidRPr="00DF1DE9" w:rsidRDefault="00407579" w:rsidP="00407579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See </w:t>
      </w:r>
      <w:hyperlink r:id="rId7" w:history="1">
        <w:r w:rsidRPr="000D5C9E">
          <w:rPr>
            <w:rStyle w:val="Hyperlink"/>
            <w:sz w:val="24"/>
            <w:szCs w:val="24"/>
          </w:rPr>
          <w:t>https://www.dcr.virginia.gov/recreational-planning/lwcf</w:t>
        </w:r>
      </w:hyperlink>
      <w:r>
        <w:rPr>
          <w:sz w:val="24"/>
          <w:szCs w:val="24"/>
        </w:rPr>
        <w:t xml:space="preserve"> for DCR LWCF guidance. </w:t>
      </w:r>
      <w:bookmarkStart w:id="1" w:name="_GoBack"/>
      <w:bookmarkEnd w:id="1"/>
    </w:p>
    <w:p w14:paraId="2FA6B756" w14:textId="51EDCC3D" w:rsidR="00DF1DE9" w:rsidRP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Historic/Cultural Resources Compliance data collection (Section 106)</w:t>
      </w:r>
    </w:p>
    <w:p w14:paraId="45AFC329" w14:textId="1C50F9A2" w:rsidR="00DF1DE9" w:rsidRP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Preliminary Design Development</w:t>
      </w:r>
    </w:p>
    <w:p w14:paraId="2DFB7A04" w14:textId="194A0355" w:rsidR="00DF1DE9" w:rsidRP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Final Plan Development</w:t>
      </w:r>
    </w:p>
    <w:p w14:paraId="2EB52145" w14:textId="6FDF4766" w:rsidR="00DF1DE9" w:rsidRP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Construction Drawing Preparation</w:t>
      </w:r>
    </w:p>
    <w:p w14:paraId="1EA59079" w14:textId="5F0A1F6A" w:rsidR="00DF1DE9" w:rsidRP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City/County other Reviews/Approvals</w:t>
      </w:r>
    </w:p>
    <w:p w14:paraId="63C3080B" w14:textId="46A71A33" w:rsidR="00DF1DE9" w:rsidRDefault="00DF1DE9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DE9">
        <w:rPr>
          <w:sz w:val="24"/>
          <w:szCs w:val="24"/>
        </w:rPr>
        <w:t>Permitting</w:t>
      </w:r>
    </w:p>
    <w:p w14:paraId="13A4FB75" w14:textId="4497E3C4" w:rsidR="00A34A96" w:rsidRDefault="00A34A96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Construction</w:t>
      </w:r>
      <w:r w:rsidR="000445A9">
        <w:rPr>
          <w:sz w:val="24"/>
          <w:szCs w:val="24"/>
        </w:rPr>
        <w:t xml:space="preserve"> Period</w:t>
      </w:r>
    </w:p>
    <w:p w14:paraId="6885215B" w14:textId="009ED0DE" w:rsidR="00A34A96" w:rsidRPr="00DF1DE9" w:rsidRDefault="00A34A96" w:rsidP="00DF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Open to Public</w:t>
      </w:r>
    </w:p>
    <w:p w14:paraId="5DAB6DB3" w14:textId="76A84CBF" w:rsidR="00DF1DE9" w:rsidRDefault="00DF1DE9">
      <w:pPr>
        <w:rPr>
          <w:sz w:val="24"/>
          <w:szCs w:val="24"/>
        </w:rPr>
      </w:pPr>
    </w:p>
    <w:p w14:paraId="31952E67" w14:textId="458203CE" w:rsidR="00A34A96" w:rsidRDefault="00A34A96" w:rsidP="00A34A96">
      <w:pPr>
        <w:pStyle w:val="Heading2"/>
      </w:pPr>
      <w:r w:rsidRPr="00A34A96">
        <w:t>All Projects</w:t>
      </w:r>
    </w:p>
    <w:p w14:paraId="481A5C80" w14:textId="218BAC85" w:rsidR="000445A9" w:rsidRPr="000445A9" w:rsidRDefault="00FE7CA0" w:rsidP="000445A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Include time for complete </w:t>
      </w:r>
      <w:r w:rsidR="00AD718D">
        <w:rPr>
          <w:rFonts w:eastAsia="Times New Roman" w:cstheme="minorHAnsi"/>
          <w:color w:val="111111"/>
          <w:sz w:val="24"/>
          <w:szCs w:val="24"/>
        </w:rPr>
        <w:t>federal</w:t>
      </w:r>
      <w:r w:rsidR="000445A9">
        <w:rPr>
          <w:rFonts w:eastAsia="Times New Roman" w:cstheme="minorHAnsi"/>
          <w:color w:val="111111"/>
          <w:sz w:val="24"/>
          <w:szCs w:val="24"/>
        </w:rPr>
        <w:t xml:space="preserve"> Environmental </w:t>
      </w:r>
      <w:r>
        <w:rPr>
          <w:rFonts w:eastAsia="Times New Roman" w:cstheme="minorHAnsi"/>
          <w:color w:val="111111"/>
          <w:sz w:val="24"/>
          <w:szCs w:val="24"/>
        </w:rPr>
        <w:t>and Cultural Resource compliance</w:t>
      </w:r>
      <w:r w:rsidR="00AD718D">
        <w:rPr>
          <w:rFonts w:eastAsia="Times New Roman" w:cstheme="minorHAnsi"/>
          <w:color w:val="111111"/>
          <w:sz w:val="24"/>
          <w:szCs w:val="24"/>
        </w:rPr>
        <w:t xml:space="preserve"> processes (State Historic Preservation Office and Tribal Historic Preservation Office review)</w:t>
      </w:r>
      <w:r>
        <w:rPr>
          <w:rFonts w:eastAsia="Times New Roman" w:cstheme="minorHAnsi"/>
          <w:color w:val="111111"/>
          <w:sz w:val="24"/>
          <w:szCs w:val="24"/>
        </w:rPr>
        <w:t>, as required under the National Environmental Policy Act and National Historic Preservation Act</w:t>
      </w:r>
      <w:r w:rsidR="00AD718D">
        <w:rPr>
          <w:rFonts w:eastAsia="Times New Roman" w:cstheme="minorHAnsi"/>
          <w:color w:val="111111"/>
          <w:sz w:val="24"/>
          <w:szCs w:val="24"/>
        </w:rPr>
        <w:t xml:space="preserve"> (</w:t>
      </w:r>
      <w:r w:rsidR="00AD718D" w:rsidRPr="00AD718D">
        <w:rPr>
          <w:rFonts w:eastAsia="Times New Roman" w:cstheme="minorHAnsi"/>
          <w:i/>
          <w:iCs/>
          <w:color w:val="111111"/>
          <w:sz w:val="24"/>
          <w:szCs w:val="24"/>
        </w:rPr>
        <w:t>Minimum of one year if no compliance supporting activities have been completed as of the date of application</w:t>
      </w:r>
      <w:r w:rsidR="00AD718D">
        <w:rPr>
          <w:rFonts w:eastAsia="Times New Roman" w:cstheme="minorHAnsi"/>
          <w:color w:val="111111"/>
          <w:sz w:val="24"/>
          <w:szCs w:val="24"/>
        </w:rPr>
        <w:t>.)</w:t>
      </w:r>
    </w:p>
    <w:p w14:paraId="07A6EEC5" w14:textId="3E4F2E51" w:rsidR="00A34A96" w:rsidRDefault="007C1DB4" w:rsidP="00A34A96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Indicate </w:t>
      </w:r>
      <w:r w:rsidR="005731FF">
        <w:rPr>
          <w:rFonts w:eastAsia="Times New Roman" w:cstheme="minorHAnsi"/>
          <w:color w:val="111111"/>
          <w:sz w:val="24"/>
          <w:szCs w:val="24"/>
        </w:rPr>
        <w:t xml:space="preserve">when committed funds </w:t>
      </w:r>
      <w:r>
        <w:rPr>
          <w:rFonts w:eastAsia="Times New Roman" w:cstheme="minorHAnsi"/>
          <w:color w:val="111111"/>
          <w:sz w:val="24"/>
          <w:szCs w:val="24"/>
        </w:rPr>
        <w:t>will be</w:t>
      </w:r>
      <w:r w:rsidR="005731FF">
        <w:rPr>
          <w:rFonts w:eastAsia="Times New Roman" w:cstheme="minorHAnsi"/>
          <w:color w:val="111111"/>
          <w:sz w:val="24"/>
          <w:szCs w:val="24"/>
        </w:rPr>
        <w:t xml:space="preserve"> secured</w:t>
      </w:r>
    </w:p>
    <w:p w14:paraId="760213A6" w14:textId="18472D96" w:rsidR="00FE7CA0" w:rsidRDefault="00FE7CA0" w:rsidP="00A34A96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Time to complete/resolve any easement/lease/</w:t>
      </w:r>
      <w:r w:rsidR="00AD718D">
        <w:rPr>
          <w:rFonts w:eastAsia="Times New Roman" w:cstheme="minorHAnsi"/>
          <w:color w:val="111111"/>
          <w:sz w:val="24"/>
          <w:szCs w:val="24"/>
        </w:rPr>
        <w:t xml:space="preserve">ownership </w:t>
      </w:r>
      <w:r>
        <w:rPr>
          <w:rFonts w:eastAsia="Times New Roman" w:cstheme="minorHAnsi"/>
          <w:color w:val="111111"/>
          <w:sz w:val="24"/>
          <w:szCs w:val="24"/>
        </w:rPr>
        <w:t>etc. issues</w:t>
      </w:r>
    </w:p>
    <w:p w14:paraId="02B86B72" w14:textId="7A4B478B" w:rsidR="00AD718D" w:rsidRDefault="00AD718D" w:rsidP="00AD718D">
      <w:pPr>
        <w:shd w:val="clear" w:color="auto" w:fill="FFFFFF"/>
        <w:spacing w:after="0" w:line="330" w:lineRule="atLeast"/>
        <w:ind w:left="-60"/>
        <w:rPr>
          <w:rFonts w:eastAsia="Times New Roman" w:cstheme="minorHAnsi"/>
          <w:color w:val="111111"/>
          <w:sz w:val="24"/>
          <w:szCs w:val="24"/>
        </w:rPr>
      </w:pPr>
    </w:p>
    <w:p w14:paraId="39F5A3E0" w14:textId="77777777" w:rsidR="00A34A96" w:rsidRPr="00DF1DE9" w:rsidRDefault="00A34A96" w:rsidP="00A34A96">
      <w:pPr>
        <w:shd w:val="clear" w:color="auto" w:fill="FFFFFF"/>
        <w:spacing w:after="0" w:line="330" w:lineRule="atLeast"/>
        <w:ind w:left="300"/>
        <w:rPr>
          <w:rFonts w:eastAsia="Times New Roman" w:cstheme="minorHAnsi"/>
          <w:color w:val="111111"/>
          <w:sz w:val="24"/>
          <w:szCs w:val="24"/>
        </w:rPr>
      </w:pPr>
    </w:p>
    <w:p w14:paraId="27D8C1D1" w14:textId="77777777" w:rsidR="00A34A96" w:rsidRPr="00A34A96" w:rsidRDefault="00A34A96">
      <w:pPr>
        <w:rPr>
          <w:sz w:val="24"/>
          <w:szCs w:val="24"/>
          <w:u w:val="single"/>
        </w:rPr>
      </w:pPr>
    </w:p>
    <w:sectPr w:rsidR="00A34A96" w:rsidRPr="00A34A96" w:rsidSect="00921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aton, Kellie (DCR)" w:date="2021-06-04T11:01:00Z" w:initials="SK(">
    <w:p w14:paraId="13B46DE1" w14:textId="6AEF041A" w:rsidR="00921D51" w:rsidRDefault="00921D51">
      <w:pPr>
        <w:pStyle w:val="CommentText"/>
      </w:pPr>
      <w:r>
        <w:rPr>
          <w:rStyle w:val="CommentReference"/>
        </w:rPr>
        <w:annotationRef/>
      </w:r>
      <w:r>
        <w:t>Guidance on page can be deleted to meet 1 page limit.</w:t>
      </w:r>
    </w:p>
    <w:p w14:paraId="6E7D5A05" w14:textId="59F36654" w:rsidR="00921D51" w:rsidRDefault="00921D51">
      <w:pPr>
        <w:pStyle w:val="CommentText"/>
      </w:pPr>
    </w:p>
    <w:p w14:paraId="69A98FBC" w14:textId="6779A300" w:rsidR="00921D51" w:rsidRDefault="00921D51">
      <w:pPr>
        <w:pStyle w:val="CommentText"/>
      </w:pPr>
      <w:r>
        <w:t>Use project authorization date no earlier than October 1, 2022</w:t>
      </w:r>
    </w:p>
    <w:p w14:paraId="406F2871" w14:textId="036F510B" w:rsidR="00921D51" w:rsidRDefault="00921D51">
      <w:pPr>
        <w:pStyle w:val="CommentText"/>
      </w:pPr>
    </w:p>
    <w:p w14:paraId="6084CC3D" w14:textId="295C22C7" w:rsidR="00921D51" w:rsidRDefault="00921D51">
      <w:pPr>
        <w:pStyle w:val="CommentText"/>
      </w:pPr>
      <w:r>
        <w:t xml:space="preserve">Please use exact months/years and dates.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84CC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35D2"/>
    <w:multiLevelType w:val="multilevel"/>
    <w:tmpl w:val="E00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06EC9"/>
    <w:multiLevelType w:val="hybridMultilevel"/>
    <w:tmpl w:val="B7D4D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ton, Kellie (DCR)">
    <w15:presenceInfo w15:providerId="AD" w15:userId="S-1-5-21-3102109963-2641124013-111641105-1059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E9"/>
    <w:rsid w:val="000445A9"/>
    <w:rsid w:val="00064F12"/>
    <w:rsid w:val="00407579"/>
    <w:rsid w:val="004460E4"/>
    <w:rsid w:val="005731FF"/>
    <w:rsid w:val="007C1DB4"/>
    <w:rsid w:val="00921D51"/>
    <w:rsid w:val="00A34A96"/>
    <w:rsid w:val="00AD718D"/>
    <w:rsid w:val="00DF1DE9"/>
    <w:rsid w:val="00FB1F33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9677"/>
  <w15:chartTrackingRefBased/>
  <w15:docId w15:val="{14AB02A9-45B7-4590-A38D-BA08A66E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12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F12"/>
    <w:rPr>
      <w:rFonts w:eastAsiaTheme="majorEastAs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DF1D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6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0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0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E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7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cr.virginia.gov/recreational-planning/lw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Virginia</dc:creator>
  <cp:keywords/>
  <dc:description/>
  <cp:lastModifiedBy>Seaton, Kellie (DCR)</cp:lastModifiedBy>
  <cp:revision>3</cp:revision>
  <dcterms:created xsi:type="dcterms:W3CDTF">2021-06-04T15:03:00Z</dcterms:created>
  <dcterms:modified xsi:type="dcterms:W3CDTF">2021-06-04T17:53:00Z</dcterms:modified>
</cp:coreProperties>
</file>