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3C6CF" w14:textId="77777777" w:rsidR="00DD57B9" w:rsidRDefault="00000000">
      <w:pPr>
        <w:pStyle w:val="Title"/>
        <w:jc w:val="center"/>
      </w:pPr>
      <w:r>
        <w:t>Oakwood Melbourne Expansion Location Analysis</w:t>
      </w:r>
    </w:p>
    <w:p w14:paraId="2D8ED009" w14:textId="77777777" w:rsidR="00DD57B9" w:rsidRDefault="00000000">
      <w:pPr>
        <w:pStyle w:val="Subtitle"/>
        <w:jc w:val="center"/>
      </w:pPr>
      <w:r>
        <w:t>Location Assessment and Preliminary Recommendation</w:t>
      </w:r>
    </w:p>
    <w:tbl>
      <w:tblPr>
        <w:tblStyle w:val="TableGrid"/>
        <w:tblW w:w="0" w:type="auto"/>
        <w:jc w:val="center"/>
        <w:tblLook w:val="04A0" w:firstRow="1" w:lastRow="0" w:firstColumn="1" w:lastColumn="0" w:noHBand="0" w:noVBand="1"/>
      </w:tblPr>
      <w:tblGrid>
        <w:gridCol w:w="10224"/>
      </w:tblGrid>
      <w:tr w:rsidR="00DD57B9" w14:paraId="6FCA7759" w14:textId="77777777">
        <w:trPr>
          <w:cantSplit/>
          <w:jc w:val="center"/>
        </w:trPr>
        <w:tc>
          <w:tcPr>
            <w:tcW w:w="10224" w:type="dxa"/>
            <w:shd w:val="clear" w:color="auto" w:fill="D9EAF7"/>
            <w:vAlign w:val="center"/>
          </w:tcPr>
          <w:p w14:paraId="5ACFC521" w14:textId="77777777" w:rsidR="00DD57B9" w:rsidRDefault="00000000">
            <w:pPr>
              <w:spacing w:after="40"/>
            </w:pPr>
            <w:r>
              <w:rPr>
                <w:sz w:val="18"/>
              </w:rPr>
              <w:t>Purpose: To identify a suitable location for a new Oakwood property outside Southbank, expand the brand’s geographic coverage and reduce internal competition with Oakwood Premier Melbourne.</w:t>
            </w:r>
          </w:p>
        </w:tc>
      </w:tr>
    </w:tbl>
    <w:p w14:paraId="455194E8" w14:textId="77777777" w:rsidR="00DD57B9" w:rsidRDefault="00DD57B9">
      <w:pPr>
        <w:spacing w:after="80" w:line="252" w:lineRule="auto"/>
      </w:pPr>
    </w:p>
    <w:p w14:paraId="65CA609F" w14:textId="77777777" w:rsidR="00DD57B9" w:rsidRDefault="00000000">
      <w:pPr>
        <w:pStyle w:val="Heading1"/>
        <w:spacing w:before="140" w:after="80"/>
      </w:pPr>
      <w:r>
        <w:t>1. Scope and Strategic Context</w:t>
      </w:r>
    </w:p>
    <w:p w14:paraId="1FE99386" w14:textId="77777777" w:rsidR="00DD57B9" w:rsidRDefault="00000000">
      <w:pPr>
        <w:spacing w:after="80" w:line="252" w:lineRule="auto"/>
      </w:pPr>
      <w:r>
        <w:t>Oakwood Premier Melbourne currently operates at 202 Normanby Road, Southbank. Southbank is therefore treated as the existing-property benchmark, not as a candidate for the new hotel. This report provides suburb-level screening only. It compares Melbourne CBD, Docklands and Carlton using consistent criteria, then identifies a preferred suburb, backup suburbs and the conditions that must be verified before any street or property is selected.</w:t>
      </w:r>
    </w:p>
    <w:tbl>
      <w:tblPr>
        <w:tblStyle w:val="TableGrid"/>
        <w:tblW w:w="0" w:type="auto"/>
        <w:jc w:val="center"/>
        <w:tblLook w:val="04A0" w:firstRow="1" w:lastRow="0" w:firstColumn="1" w:lastColumn="0" w:noHBand="0" w:noVBand="1"/>
      </w:tblPr>
      <w:tblGrid>
        <w:gridCol w:w="10224"/>
      </w:tblGrid>
      <w:tr w:rsidR="00DD57B9" w14:paraId="01601A28" w14:textId="77777777">
        <w:trPr>
          <w:cantSplit/>
          <w:jc w:val="center"/>
        </w:trPr>
        <w:tc>
          <w:tcPr>
            <w:tcW w:w="10224" w:type="dxa"/>
            <w:shd w:val="clear" w:color="auto" w:fill="FCE4D6"/>
            <w:vAlign w:val="center"/>
          </w:tcPr>
          <w:p w14:paraId="5ECD3466" w14:textId="77777777" w:rsidR="00DD57B9" w:rsidRDefault="00000000">
            <w:pPr>
              <w:spacing w:after="40"/>
            </w:pPr>
            <w:r>
              <w:rPr>
                <w:sz w:val="18"/>
              </w:rPr>
              <w:t>Key change: The earlier Southbank recommendation is no longer suitable because a second Oakwood property in the same precinct could duplicate customer coverage and create cannibalisation risk.</w:t>
            </w:r>
          </w:p>
        </w:tc>
      </w:tr>
    </w:tbl>
    <w:p w14:paraId="5ED80FA0" w14:textId="77777777" w:rsidR="00DD57B9" w:rsidRDefault="00DD57B9">
      <w:pPr>
        <w:spacing w:after="80" w:line="252" w:lineRule="auto"/>
      </w:pPr>
    </w:p>
    <w:p w14:paraId="21DC5594" w14:textId="77777777" w:rsidR="00DD57B9" w:rsidRDefault="00000000">
      <w:pPr>
        <w:pStyle w:val="Heading1"/>
        <w:spacing w:before="140" w:after="80"/>
      </w:pPr>
      <w:r>
        <w:t>2. Working Project Assumptions</w:t>
      </w:r>
    </w:p>
    <w:tbl>
      <w:tblPr>
        <w:tblStyle w:val="TableGrid"/>
        <w:tblW w:w="0" w:type="auto"/>
        <w:jc w:val="center"/>
        <w:tblLook w:val="04A0" w:firstRow="1" w:lastRow="0" w:firstColumn="1" w:lastColumn="0" w:noHBand="0" w:noVBand="1"/>
      </w:tblPr>
      <w:tblGrid>
        <w:gridCol w:w="2769"/>
        <w:gridCol w:w="7815"/>
      </w:tblGrid>
      <w:tr w:rsidR="00DD57B9" w14:paraId="13B6F73D" w14:textId="77777777">
        <w:trPr>
          <w:cantSplit/>
          <w:tblHeader/>
          <w:jc w:val="center"/>
        </w:trPr>
        <w:tc>
          <w:tcPr>
            <w:tcW w:w="2880" w:type="dxa"/>
            <w:shd w:val="clear" w:color="auto" w:fill="1F4E79"/>
            <w:vAlign w:val="center"/>
          </w:tcPr>
          <w:p w14:paraId="1CCBD5A6" w14:textId="77777777" w:rsidR="00DD57B9" w:rsidRDefault="00000000">
            <w:r>
              <w:rPr>
                <w:b/>
                <w:color w:val="FFFFFF"/>
                <w:sz w:val="16"/>
              </w:rPr>
              <w:t>Item</w:t>
            </w:r>
          </w:p>
        </w:tc>
        <w:tc>
          <w:tcPr>
            <w:tcW w:w="8208" w:type="dxa"/>
            <w:shd w:val="clear" w:color="auto" w:fill="1F4E79"/>
            <w:vAlign w:val="center"/>
          </w:tcPr>
          <w:p w14:paraId="52D014B3" w14:textId="77777777" w:rsidR="00DD57B9" w:rsidRDefault="00000000">
            <w:r>
              <w:rPr>
                <w:b/>
                <w:color w:val="FFFFFF"/>
                <w:sz w:val="16"/>
              </w:rPr>
              <w:t>Working assumption</w:t>
            </w:r>
          </w:p>
        </w:tc>
      </w:tr>
      <w:tr w:rsidR="00DD57B9" w14:paraId="2C3E0153" w14:textId="77777777">
        <w:trPr>
          <w:cantSplit/>
          <w:jc w:val="center"/>
        </w:trPr>
        <w:tc>
          <w:tcPr>
            <w:tcW w:w="2880" w:type="dxa"/>
            <w:shd w:val="clear" w:color="auto" w:fill="D9EAF7"/>
            <w:vAlign w:val="center"/>
          </w:tcPr>
          <w:p w14:paraId="6D379B53" w14:textId="77777777" w:rsidR="00DD57B9" w:rsidRDefault="00000000">
            <w:r>
              <w:rPr>
                <w:sz w:val="17"/>
              </w:rPr>
              <w:t>Project type</w:t>
            </w:r>
          </w:p>
        </w:tc>
        <w:tc>
          <w:tcPr>
            <w:tcW w:w="8208" w:type="dxa"/>
            <w:vAlign w:val="center"/>
          </w:tcPr>
          <w:p w14:paraId="094EB9E3" w14:textId="77777777" w:rsidR="00DD57B9" w:rsidRDefault="00000000">
            <w:r>
              <w:rPr>
                <w:sz w:val="17"/>
              </w:rPr>
              <w:t>New Oakwood property in Melbourne, outside Southbank</w:t>
            </w:r>
          </w:p>
        </w:tc>
      </w:tr>
      <w:tr w:rsidR="00DD57B9" w14:paraId="2C375B76" w14:textId="77777777">
        <w:trPr>
          <w:cantSplit/>
          <w:jc w:val="center"/>
        </w:trPr>
        <w:tc>
          <w:tcPr>
            <w:tcW w:w="2880" w:type="dxa"/>
            <w:shd w:val="clear" w:color="auto" w:fill="D9EAF7"/>
            <w:vAlign w:val="center"/>
          </w:tcPr>
          <w:p w14:paraId="61C5880B" w14:textId="77777777" w:rsidR="00DD57B9" w:rsidRDefault="00000000">
            <w:r>
              <w:rPr>
                <w:sz w:val="17"/>
              </w:rPr>
              <w:t>Hotel concept</w:t>
            </w:r>
          </w:p>
        </w:tc>
        <w:tc>
          <w:tcPr>
            <w:tcW w:w="8208" w:type="dxa"/>
            <w:shd w:val="clear" w:color="auto" w:fill="F8FAFC"/>
            <w:vAlign w:val="center"/>
          </w:tcPr>
          <w:p w14:paraId="7201055B" w14:textId="77777777" w:rsidR="00DD57B9" w:rsidRDefault="00000000">
            <w:r>
              <w:rPr>
                <w:sz w:val="17"/>
              </w:rPr>
              <w:t>Boutique business hotel with serviced-residence capability</w:t>
            </w:r>
          </w:p>
        </w:tc>
      </w:tr>
      <w:tr w:rsidR="00DD57B9" w14:paraId="39A425CB" w14:textId="77777777">
        <w:trPr>
          <w:cantSplit/>
          <w:jc w:val="center"/>
        </w:trPr>
        <w:tc>
          <w:tcPr>
            <w:tcW w:w="2880" w:type="dxa"/>
            <w:shd w:val="clear" w:color="auto" w:fill="D9EAF7"/>
            <w:vAlign w:val="center"/>
          </w:tcPr>
          <w:p w14:paraId="62BC8AD1" w14:textId="77777777" w:rsidR="00DD57B9" w:rsidRDefault="00000000">
            <w:r>
              <w:rPr>
                <w:sz w:val="17"/>
              </w:rPr>
              <w:t>Target guests</w:t>
            </w:r>
          </w:p>
        </w:tc>
        <w:tc>
          <w:tcPr>
            <w:tcW w:w="8208" w:type="dxa"/>
            <w:vAlign w:val="center"/>
          </w:tcPr>
          <w:p w14:paraId="762662AB" w14:textId="77777777" w:rsidR="00DD57B9" w:rsidRDefault="00000000">
            <w:r>
              <w:rPr>
                <w:sz w:val="17"/>
              </w:rPr>
              <w:t>Business and leisure travellers, including medium- and extended-stay guests</w:t>
            </w:r>
          </w:p>
        </w:tc>
      </w:tr>
      <w:tr w:rsidR="00DD57B9" w14:paraId="20F4C98E" w14:textId="77777777">
        <w:trPr>
          <w:cantSplit/>
          <w:jc w:val="center"/>
        </w:trPr>
        <w:tc>
          <w:tcPr>
            <w:tcW w:w="2880" w:type="dxa"/>
            <w:shd w:val="clear" w:color="auto" w:fill="D9EAF7"/>
            <w:vAlign w:val="center"/>
          </w:tcPr>
          <w:p w14:paraId="694AB755" w14:textId="77777777" w:rsidR="00DD57B9" w:rsidRDefault="00000000">
            <w:r>
              <w:rPr>
                <w:sz w:val="17"/>
              </w:rPr>
              <w:t>Indicative size</w:t>
            </w:r>
          </w:p>
        </w:tc>
        <w:tc>
          <w:tcPr>
            <w:tcW w:w="8208" w:type="dxa"/>
            <w:shd w:val="clear" w:color="auto" w:fill="F8FAFC"/>
            <w:vAlign w:val="center"/>
          </w:tcPr>
          <w:p w14:paraId="726828DE" w14:textId="77777777" w:rsidR="00DD57B9" w:rsidRDefault="00000000">
            <w:r>
              <w:rPr>
                <w:sz w:val="17"/>
              </w:rPr>
              <w:t>Approximately 100–150 rooms</w:t>
            </w:r>
          </w:p>
        </w:tc>
      </w:tr>
      <w:tr w:rsidR="00DD57B9" w14:paraId="27D62CD4" w14:textId="77777777">
        <w:trPr>
          <w:cantSplit/>
          <w:jc w:val="center"/>
        </w:trPr>
        <w:tc>
          <w:tcPr>
            <w:tcW w:w="2880" w:type="dxa"/>
            <w:shd w:val="clear" w:color="auto" w:fill="D9EAF7"/>
            <w:vAlign w:val="center"/>
          </w:tcPr>
          <w:p w14:paraId="69E51EA1" w14:textId="77777777" w:rsidR="00DD57B9" w:rsidRDefault="00000000">
            <w:r>
              <w:rPr>
                <w:sz w:val="17"/>
              </w:rPr>
              <w:t>Service level</w:t>
            </w:r>
          </w:p>
        </w:tc>
        <w:tc>
          <w:tcPr>
            <w:tcW w:w="8208" w:type="dxa"/>
            <w:vAlign w:val="center"/>
          </w:tcPr>
          <w:p w14:paraId="15D502B9" w14:textId="77777777" w:rsidR="00DD57B9" w:rsidRDefault="00000000">
            <w:r>
              <w:rPr>
                <w:sz w:val="17"/>
              </w:rPr>
              <w:t>Midscale to upscale</w:t>
            </w:r>
          </w:p>
        </w:tc>
      </w:tr>
      <w:tr w:rsidR="00DD57B9" w14:paraId="104365A6" w14:textId="77777777">
        <w:trPr>
          <w:cantSplit/>
          <w:jc w:val="center"/>
        </w:trPr>
        <w:tc>
          <w:tcPr>
            <w:tcW w:w="2880" w:type="dxa"/>
            <w:shd w:val="clear" w:color="auto" w:fill="D9EAF7"/>
            <w:vAlign w:val="center"/>
          </w:tcPr>
          <w:p w14:paraId="5E828EA4" w14:textId="77777777" w:rsidR="00DD57B9" w:rsidRDefault="00000000">
            <w:r>
              <w:rPr>
                <w:sz w:val="17"/>
              </w:rPr>
              <w:t>Strategic objective</w:t>
            </w:r>
          </w:p>
        </w:tc>
        <w:tc>
          <w:tcPr>
            <w:tcW w:w="8208" w:type="dxa"/>
            <w:shd w:val="clear" w:color="auto" w:fill="F8FAFC"/>
            <w:vAlign w:val="center"/>
          </w:tcPr>
          <w:p w14:paraId="51A70A4F" w14:textId="77777777" w:rsidR="00DD57B9" w:rsidRDefault="00000000">
            <w:r>
              <w:rPr>
                <w:sz w:val="17"/>
              </w:rPr>
              <w:t>Expand market coverage and attract customer groups not already centred on Southbank</w:t>
            </w:r>
          </w:p>
        </w:tc>
      </w:tr>
      <w:tr w:rsidR="00DD57B9" w14:paraId="08BB8C01" w14:textId="77777777">
        <w:trPr>
          <w:cantSplit/>
          <w:jc w:val="center"/>
        </w:trPr>
        <w:tc>
          <w:tcPr>
            <w:tcW w:w="2880" w:type="dxa"/>
            <w:shd w:val="clear" w:color="auto" w:fill="D9EAF7"/>
            <w:vAlign w:val="center"/>
          </w:tcPr>
          <w:p w14:paraId="049F48D5" w14:textId="77777777" w:rsidR="00DD57B9" w:rsidRDefault="00000000">
            <w:r>
              <w:rPr>
                <w:sz w:val="17"/>
              </w:rPr>
              <w:t>Status</w:t>
            </w:r>
          </w:p>
        </w:tc>
        <w:tc>
          <w:tcPr>
            <w:tcW w:w="8208" w:type="dxa"/>
            <w:vAlign w:val="center"/>
          </w:tcPr>
          <w:p w14:paraId="6DB9B758" w14:textId="77777777" w:rsidR="00DD57B9" w:rsidRDefault="00000000">
            <w:r>
              <w:rPr>
                <w:sz w:val="17"/>
              </w:rPr>
              <w:t>Preliminary assumptions; subject to project-team approval</w:t>
            </w:r>
          </w:p>
        </w:tc>
      </w:tr>
    </w:tbl>
    <w:p w14:paraId="1DF6BE88" w14:textId="77777777" w:rsidR="00DD57B9" w:rsidRDefault="00DD57B9">
      <w:pPr>
        <w:spacing w:after="80" w:line="252" w:lineRule="auto"/>
      </w:pPr>
    </w:p>
    <w:p w14:paraId="1DF83BC7" w14:textId="77777777" w:rsidR="00DD57B9" w:rsidRDefault="00000000">
      <w:pPr>
        <w:pStyle w:val="Heading1"/>
        <w:spacing w:before="140" w:after="80"/>
      </w:pPr>
      <w:r>
        <w:t>3. Existing Oakwood Property: Southbank Benchmark</w:t>
      </w:r>
    </w:p>
    <w:tbl>
      <w:tblPr>
        <w:tblStyle w:val="TableGrid"/>
        <w:tblW w:w="0" w:type="auto"/>
        <w:jc w:val="center"/>
        <w:tblLook w:val="04A0" w:firstRow="1" w:lastRow="0" w:firstColumn="1" w:lastColumn="0" w:noHBand="0" w:noVBand="1"/>
      </w:tblPr>
      <w:tblGrid>
        <w:gridCol w:w="2085"/>
        <w:gridCol w:w="3427"/>
        <w:gridCol w:w="5072"/>
      </w:tblGrid>
      <w:tr w:rsidR="00DD57B9" w14:paraId="45C48232" w14:textId="77777777">
        <w:trPr>
          <w:cantSplit/>
          <w:tblHeader/>
          <w:jc w:val="center"/>
        </w:trPr>
        <w:tc>
          <w:tcPr>
            <w:tcW w:w="2160" w:type="dxa"/>
            <w:shd w:val="clear" w:color="auto" w:fill="1F4E79"/>
            <w:vAlign w:val="center"/>
          </w:tcPr>
          <w:p w14:paraId="571A0900" w14:textId="77777777" w:rsidR="00DD57B9" w:rsidRDefault="00000000">
            <w:r>
              <w:rPr>
                <w:b/>
                <w:color w:val="FFFFFF"/>
                <w:sz w:val="16"/>
              </w:rPr>
              <w:t>Benchmark factor</w:t>
            </w:r>
          </w:p>
        </w:tc>
        <w:tc>
          <w:tcPr>
            <w:tcW w:w="3600" w:type="dxa"/>
            <w:shd w:val="clear" w:color="auto" w:fill="1F4E79"/>
            <w:vAlign w:val="center"/>
          </w:tcPr>
          <w:p w14:paraId="1CD81853" w14:textId="77777777" w:rsidR="00DD57B9" w:rsidRDefault="00000000">
            <w:r>
              <w:rPr>
                <w:b/>
                <w:color w:val="FFFFFF"/>
                <w:sz w:val="16"/>
              </w:rPr>
              <w:t>Current position</w:t>
            </w:r>
          </w:p>
        </w:tc>
        <w:tc>
          <w:tcPr>
            <w:tcW w:w="5328" w:type="dxa"/>
            <w:shd w:val="clear" w:color="auto" w:fill="1F4E79"/>
            <w:vAlign w:val="center"/>
          </w:tcPr>
          <w:p w14:paraId="2929DB08" w14:textId="77777777" w:rsidR="00DD57B9" w:rsidRDefault="00000000">
            <w:r>
              <w:rPr>
                <w:b/>
                <w:color w:val="FFFFFF"/>
                <w:sz w:val="16"/>
              </w:rPr>
              <w:t>Implication for expansion</w:t>
            </w:r>
          </w:p>
        </w:tc>
      </w:tr>
      <w:tr w:rsidR="00DD57B9" w14:paraId="1BA26DCE" w14:textId="77777777">
        <w:trPr>
          <w:cantSplit/>
          <w:jc w:val="center"/>
        </w:trPr>
        <w:tc>
          <w:tcPr>
            <w:tcW w:w="2160" w:type="dxa"/>
            <w:shd w:val="clear" w:color="auto" w:fill="D9EAF7"/>
            <w:vAlign w:val="center"/>
          </w:tcPr>
          <w:p w14:paraId="1EC38C29" w14:textId="77777777" w:rsidR="00DD57B9" w:rsidRDefault="00000000">
            <w:r>
              <w:rPr>
                <w:sz w:val="16"/>
              </w:rPr>
              <w:t>Location</w:t>
            </w:r>
          </w:p>
        </w:tc>
        <w:tc>
          <w:tcPr>
            <w:tcW w:w="3600" w:type="dxa"/>
            <w:vAlign w:val="center"/>
          </w:tcPr>
          <w:p w14:paraId="4EE4CC1F" w14:textId="77777777" w:rsidR="00DD57B9" w:rsidRDefault="00000000">
            <w:r>
              <w:rPr>
                <w:sz w:val="16"/>
              </w:rPr>
              <w:t>Oakwood Premier Melbourne, 202 Normanby Road, Southbank</w:t>
            </w:r>
          </w:p>
        </w:tc>
        <w:tc>
          <w:tcPr>
            <w:tcW w:w="5328" w:type="dxa"/>
            <w:vAlign w:val="center"/>
          </w:tcPr>
          <w:p w14:paraId="3A77A930" w14:textId="77777777" w:rsidR="00DD57B9" w:rsidRDefault="00000000">
            <w:r>
              <w:rPr>
                <w:sz w:val="16"/>
              </w:rPr>
              <w:t>Southbank should not be shortlisted as the preferred location for a similar new property.</w:t>
            </w:r>
          </w:p>
        </w:tc>
      </w:tr>
      <w:tr w:rsidR="00DD57B9" w14:paraId="04C2C67D" w14:textId="77777777">
        <w:trPr>
          <w:cantSplit/>
          <w:jc w:val="center"/>
        </w:trPr>
        <w:tc>
          <w:tcPr>
            <w:tcW w:w="2160" w:type="dxa"/>
            <w:shd w:val="clear" w:color="auto" w:fill="D9EAF7"/>
            <w:vAlign w:val="center"/>
          </w:tcPr>
          <w:p w14:paraId="415B49BC" w14:textId="77777777" w:rsidR="00DD57B9" w:rsidRDefault="00000000">
            <w:r>
              <w:rPr>
                <w:sz w:val="16"/>
              </w:rPr>
              <w:t>Demand base</w:t>
            </w:r>
          </w:p>
        </w:tc>
        <w:tc>
          <w:tcPr>
            <w:tcW w:w="3600" w:type="dxa"/>
            <w:shd w:val="clear" w:color="auto" w:fill="F8FAFC"/>
            <w:vAlign w:val="center"/>
          </w:tcPr>
          <w:p w14:paraId="6628793A" w14:textId="77777777" w:rsidR="00DD57B9" w:rsidRDefault="00000000">
            <w:r>
              <w:rPr>
                <w:sz w:val="16"/>
              </w:rPr>
              <w:t>Business travellers, MCEC delegates, leisure visitors and extended-stay guests</w:t>
            </w:r>
          </w:p>
        </w:tc>
        <w:tc>
          <w:tcPr>
            <w:tcW w:w="5328" w:type="dxa"/>
            <w:shd w:val="clear" w:color="auto" w:fill="F8FAFC"/>
            <w:vAlign w:val="center"/>
          </w:tcPr>
          <w:p w14:paraId="39BF8E4C" w14:textId="77777777" w:rsidR="00DD57B9" w:rsidRDefault="00000000">
            <w:r>
              <w:rPr>
                <w:sz w:val="16"/>
              </w:rPr>
              <w:t>The new location should add new demand drivers rather than repeat the same conference and riverside market.</w:t>
            </w:r>
          </w:p>
        </w:tc>
      </w:tr>
      <w:tr w:rsidR="00DD57B9" w14:paraId="5BA4A9BF" w14:textId="77777777">
        <w:trPr>
          <w:cantSplit/>
          <w:jc w:val="center"/>
        </w:trPr>
        <w:tc>
          <w:tcPr>
            <w:tcW w:w="2160" w:type="dxa"/>
            <w:shd w:val="clear" w:color="auto" w:fill="D9EAF7"/>
            <w:vAlign w:val="center"/>
          </w:tcPr>
          <w:p w14:paraId="3F456AD3" w14:textId="77777777" w:rsidR="00DD57B9" w:rsidRDefault="00000000">
            <w:r>
              <w:rPr>
                <w:sz w:val="16"/>
              </w:rPr>
              <w:t>Brand coverage</w:t>
            </w:r>
          </w:p>
        </w:tc>
        <w:tc>
          <w:tcPr>
            <w:tcW w:w="3600" w:type="dxa"/>
            <w:vAlign w:val="center"/>
          </w:tcPr>
          <w:p w14:paraId="651FEA15" w14:textId="77777777" w:rsidR="00DD57B9" w:rsidRDefault="00000000">
            <w:r>
              <w:rPr>
                <w:sz w:val="16"/>
              </w:rPr>
              <w:t>Strong presence in the southern edge of central Melbourne</w:t>
            </w:r>
          </w:p>
        </w:tc>
        <w:tc>
          <w:tcPr>
            <w:tcW w:w="5328" w:type="dxa"/>
            <w:vAlign w:val="center"/>
          </w:tcPr>
          <w:p w14:paraId="146401C5" w14:textId="77777777" w:rsidR="00DD57B9" w:rsidRDefault="00000000">
            <w:r>
              <w:rPr>
                <w:sz w:val="16"/>
              </w:rPr>
              <w:t>Expansion should improve access to the CBD core, western transport hub or northern university/medical precinct.</w:t>
            </w:r>
          </w:p>
        </w:tc>
      </w:tr>
      <w:tr w:rsidR="00DD57B9" w14:paraId="482E7CB9" w14:textId="77777777">
        <w:trPr>
          <w:cantSplit/>
          <w:jc w:val="center"/>
        </w:trPr>
        <w:tc>
          <w:tcPr>
            <w:tcW w:w="2160" w:type="dxa"/>
            <w:shd w:val="clear" w:color="auto" w:fill="D9EAF7"/>
            <w:vAlign w:val="center"/>
          </w:tcPr>
          <w:p w14:paraId="5710F3A7" w14:textId="77777777" w:rsidR="00DD57B9" w:rsidRDefault="00000000">
            <w:r>
              <w:rPr>
                <w:sz w:val="16"/>
              </w:rPr>
              <w:t>Main risk of duplication</w:t>
            </w:r>
          </w:p>
        </w:tc>
        <w:tc>
          <w:tcPr>
            <w:tcW w:w="3600" w:type="dxa"/>
            <w:shd w:val="clear" w:color="auto" w:fill="F8FAFC"/>
            <w:vAlign w:val="center"/>
          </w:tcPr>
          <w:p w14:paraId="406043C1" w14:textId="77777777" w:rsidR="00DD57B9" w:rsidRDefault="00000000">
            <w:r>
              <w:rPr>
                <w:sz w:val="16"/>
              </w:rPr>
              <w:t>Similar guests, marketing channels and nearby attractions</w:t>
            </w:r>
          </w:p>
        </w:tc>
        <w:tc>
          <w:tcPr>
            <w:tcW w:w="5328" w:type="dxa"/>
            <w:shd w:val="clear" w:color="auto" w:fill="F8FAFC"/>
            <w:vAlign w:val="center"/>
          </w:tcPr>
          <w:p w14:paraId="48142724" w14:textId="77777777" w:rsidR="00DD57B9" w:rsidRDefault="00000000">
            <w:r>
              <w:rPr>
                <w:sz w:val="16"/>
              </w:rPr>
              <w:t>A second Southbank property may transfer demand between Oakwood hotels rather than create new demand.</w:t>
            </w:r>
          </w:p>
        </w:tc>
      </w:tr>
    </w:tbl>
    <w:p w14:paraId="3A73AD95" w14:textId="77777777" w:rsidR="00DD57B9" w:rsidRDefault="00DD57B9">
      <w:pPr>
        <w:spacing w:after="80" w:line="252" w:lineRule="auto"/>
      </w:pPr>
    </w:p>
    <w:p w14:paraId="02D707F2" w14:textId="77777777" w:rsidR="00DD57B9" w:rsidRDefault="00000000">
      <w:pPr>
        <w:pStyle w:val="Heading1"/>
        <w:spacing w:before="140" w:after="80"/>
      </w:pPr>
      <w:r>
        <w:t>4. Revised Candidate Locations and Customer Profiles</w:t>
      </w:r>
    </w:p>
    <w:tbl>
      <w:tblPr>
        <w:tblStyle w:val="TableGrid"/>
        <w:tblW w:w="0" w:type="auto"/>
        <w:jc w:val="center"/>
        <w:tblLook w:val="04A0" w:firstRow="1" w:lastRow="0" w:firstColumn="1" w:lastColumn="0" w:noHBand="0" w:noVBand="1"/>
      </w:tblPr>
      <w:tblGrid>
        <w:gridCol w:w="1880"/>
        <w:gridCol w:w="4110"/>
        <w:gridCol w:w="4594"/>
      </w:tblGrid>
      <w:tr w:rsidR="00DD57B9" w14:paraId="6A4C2F42" w14:textId="77777777">
        <w:trPr>
          <w:cantSplit/>
          <w:tblHeader/>
          <w:jc w:val="center"/>
        </w:trPr>
        <w:tc>
          <w:tcPr>
            <w:tcW w:w="1944" w:type="dxa"/>
            <w:shd w:val="clear" w:color="auto" w:fill="1F4E79"/>
            <w:vAlign w:val="center"/>
          </w:tcPr>
          <w:p w14:paraId="0E588816" w14:textId="77777777" w:rsidR="00DD57B9" w:rsidRDefault="00000000">
            <w:r>
              <w:rPr>
                <w:b/>
                <w:color w:val="FFFFFF"/>
                <w:sz w:val="16"/>
              </w:rPr>
              <w:t>Location</w:t>
            </w:r>
          </w:p>
        </w:tc>
        <w:tc>
          <w:tcPr>
            <w:tcW w:w="4320" w:type="dxa"/>
            <w:shd w:val="clear" w:color="auto" w:fill="1F4E79"/>
            <w:vAlign w:val="center"/>
          </w:tcPr>
          <w:p w14:paraId="75697E2C" w14:textId="77777777" w:rsidR="00DD57B9" w:rsidRDefault="00000000">
            <w:r>
              <w:rPr>
                <w:b/>
                <w:color w:val="FFFFFF"/>
                <w:sz w:val="16"/>
              </w:rPr>
              <w:t>Likely customer profile</w:t>
            </w:r>
          </w:p>
        </w:tc>
        <w:tc>
          <w:tcPr>
            <w:tcW w:w="4824" w:type="dxa"/>
            <w:shd w:val="clear" w:color="auto" w:fill="1F4E79"/>
            <w:vAlign w:val="center"/>
          </w:tcPr>
          <w:p w14:paraId="6B1A4815" w14:textId="77777777" w:rsidR="00DD57B9" w:rsidRDefault="00000000">
            <w:r>
              <w:rPr>
                <w:b/>
                <w:color w:val="FFFFFF"/>
                <w:sz w:val="16"/>
              </w:rPr>
              <w:t>Strategic role for Oakwood</w:t>
            </w:r>
          </w:p>
        </w:tc>
      </w:tr>
      <w:tr w:rsidR="00DD57B9" w14:paraId="2C059E3F" w14:textId="77777777">
        <w:trPr>
          <w:cantSplit/>
          <w:jc w:val="center"/>
        </w:trPr>
        <w:tc>
          <w:tcPr>
            <w:tcW w:w="1944" w:type="dxa"/>
            <w:shd w:val="clear" w:color="auto" w:fill="D9EAF7"/>
            <w:vAlign w:val="center"/>
          </w:tcPr>
          <w:p w14:paraId="07BDEAE5" w14:textId="77777777" w:rsidR="00DD57B9" w:rsidRDefault="00000000">
            <w:r>
              <w:rPr>
                <w:sz w:val="16"/>
              </w:rPr>
              <w:t>Melbourne CBD</w:t>
            </w:r>
          </w:p>
        </w:tc>
        <w:tc>
          <w:tcPr>
            <w:tcW w:w="4320" w:type="dxa"/>
            <w:vAlign w:val="center"/>
          </w:tcPr>
          <w:p w14:paraId="1BE90698" w14:textId="77777777" w:rsidR="00DD57B9" w:rsidRDefault="00000000">
            <w:r>
              <w:rPr>
                <w:sz w:val="16"/>
              </w:rPr>
              <w:t>Corporate travellers, international visitors, shoppers, theatre and city-event guests</w:t>
            </w:r>
          </w:p>
        </w:tc>
        <w:tc>
          <w:tcPr>
            <w:tcW w:w="4824" w:type="dxa"/>
            <w:vAlign w:val="center"/>
          </w:tcPr>
          <w:p w14:paraId="55AEBFEC" w14:textId="77777777" w:rsidR="00DD57B9" w:rsidRDefault="00000000">
            <w:r>
              <w:rPr>
                <w:sz w:val="16"/>
              </w:rPr>
              <w:t>Provides the strongest city-centre visibility and stable year-round demand, while expanding beyond the existing Southbank catchment.</w:t>
            </w:r>
          </w:p>
        </w:tc>
      </w:tr>
      <w:tr w:rsidR="00DD57B9" w14:paraId="7AC79E87" w14:textId="77777777">
        <w:trPr>
          <w:cantSplit/>
          <w:jc w:val="center"/>
        </w:trPr>
        <w:tc>
          <w:tcPr>
            <w:tcW w:w="1944" w:type="dxa"/>
            <w:shd w:val="clear" w:color="auto" w:fill="D9EAF7"/>
            <w:vAlign w:val="center"/>
          </w:tcPr>
          <w:p w14:paraId="6E94A4BC" w14:textId="77777777" w:rsidR="00DD57B9" w:rsidRDefault="00000000">
            <w:r>
              <w:rPr>
                <w:sz w:val="16"/>
              </w:rPr>
              <w:t>Docklands</w:t>
            </w:r>
          </w:p>
        </w:tc>
        <w:tc>
          <w:tcPr>
            <w:tcW w:w="4320" w:type="dxa"/>
            <w:shd w:val="clear" w:color="auto" w:fill="F8FAFC"/>
            <w:vAlign w:val="center"/>
          </w:tcPr>
          <w:p w14:paraId="5780B5EF" w14:textId="77777777" w:rsidR="00DD57B9" w:rsidRDefault="00000000">
            <w:r>
              <w:rPr>
                <w:sz w:val="16"/>
              </w:rPr>
              <w:t>Regional and interstate travellers, stadium and concert visitors, corporate guests and short-stay passengers using Southern Cross Station</w:t>
            </w:r>
          </w:p>
        </w:tc>
        <w:tc>
          <w:tcPr>
            <w:tcW w:w="4824" w:type="dxa"/>
            <w:shd w:val="clear" w:color="auto" w:fill="F8FAFC"/>
            <w:vAlign w:val="center"/>
          </w:tcPr>
          <w:p w14:paraId="7FD0728E" w14:textId="77777777" w:rsidR="00DD57B9" w:rsidRDefault="00000000">
            <w:r>
              <w:rPr>
                <w:sz w:val="16"/>
              </w:rPr>
              <w:t>Adds western-city coverage and event/transport demand, but demand may fluctuate outside major events.</w:t>
            </w:r>
          </w:p>
        </w:tc>
      </w:tr>
      <w:tr w:rsidR="00DD57B9" w14:paraId="118B8F14" w14:textId="77777777">
        <w:trPr>
          <w:cantSplit/>
          <w:jc w:val="center"/>
        </w:trPr>
        <w:tc>
          <w:tcPr>
            <w:tcW w:w="1944" w:type="dxa"/>
            <w:shd w:val="clear" w:color="auto" w:fill="D9EAF7"/>
            <w:vAlign w:val="center"/>
          </w:tcPr>
          <w:p w14:paraId="5719A571" w14:textId="77777777" w:rsidR="00DD57B9" w:rsidRDefault="00000000">
            <w:r>
              <w:rPr>
                <w:sz w:val="16"/>
              </w:rPr>
              <w:t>Carlton</w:t>
            </w:r>
          </w:p>
        </w:tc>
        <w:tc>
          <w:tcPr>
            <w:tcW w:w="4320" w:type="dxa"/>
            <w:vAlign w:val="center"/>
          </w:tcPr>
          <w:p w14:paraId="0DECB865" w14:textId="77777777" w:rsidR="00DD57B9" w:rsidRDefault="00000000">
            <w:r>
              <w:rPr>
                <w:sz w:val="16"/>
              </w:rPr>
              <w:t>University visitors, academic and research guests, student families, medical visitors, cultural tourists and longer-stay guests</w:t>
            </w:r>
          </w:p>
        </w:tc>
        <w:tc>
          <w:tcPr>
            <w:tcW w:w="4824" w:type="dxa"/>
            <w:vAlign w:val="center"/>
          </w:tcPr>
          <w:p w14:paraId="4D6AB416" w14:textId="77777777" w:rsidR="00DD57B9" w:rsidRDefault="00000000">
            <w:r>
              <w:rPr>
                <w:sz w:val="16"/>
              </w:rPr>
              <w:t>Creates the clearest customer differentiation and may suit Oakwood’s serviced-residence and extended-stay strengths.</w:t>
            </w:r>
          </w:p>
        </w:tc>
      </w:tr>
    </w:tbl>
    <w:p w14:paraId="31FCB900" w14:textId="77777777" w:rsidR="00DD57B9" w:rsidRDefault="00DD57B9">
      <w:pPr>
        <w:spacing w:after="80" w:line="252" w:lineRule="auto"/>
      </w:pPr>
    </w:p>
    <w:p w14:paraId="4751FA75" w14:textId="77777777" w:rsidR="00DD57B9" w:rsidRDefault="00000000">
      <w:pPr>
        <w:pStyle w:val="Heading1"/>
        <w:spacing w:before="140" w:after="80"/>
      </w:pPr>
      <w:r>
        <w:t>5. Location Comparison</w:t>
      </w:r>
    </w:p>
    <w:tbl>
      <w:tblPr>
        <w:tblStyle w:val="TableGrid"/>
        <w:tblW w:w="0" w:type="auto"/>
        <w:jc w:val="center"/>
        <w:tblLook w:val="04A0" w:firstRow="1" w:lastRow="0" w:firstColumn="1" w:lastColumn="0" w:noHBand="0" w:noVBand="1"/>
      </w:tblPr>
      <w:tblGrid>
        <w:gridCol w:w="2274"/>
        <w:gridCol w:w="2715"/>
        <w:gridCol w:w="2736"/>
        <w:gridCol w:w="2733"/>
      </w:tblGrid>
      <w:tr w:rsidR="00DD57B9" w14:paraId="67B47F7E" w14:textId="77777777">
        <w:trPr>
          <w:cantSplit/>
          <w:tblHeader/>
          <w:jc w:val="center"/>
        </w:trPr>
        <w:tc>
          <w:tcPr>
            <w:tcW w:w="2016" w:type="dxa"/>
            <w:shd w:val="clear" w:color="auto" w:fill="1F4E79"/>
            <w:tcMar>
              <w:top w:w="35" w:type="dxa"/>
              <w:left w:w="45" w:type="dxa"/>
              <w:bottom w:w="35" w:type="dxa"/>
              <w:right w:w="45" w:type="dxa"/>
            </w:tcMar>
            <w:vAlign w:val="center"/>
          </w:tcPr>
          <w:p w14:paraId="2F0242F5" w14:textId="77777777" w:rsidR="00DD57B9" w:rsidRDefault="00000000">
            <w:pPr>
              <w:spacing w:line="216" w:lineRule="auto"/>
            </w:pPr>
            <w:r>
              <w:rPr>
                <w:b/>
                <w:color w:val="FFFFFF"/>
                <w:sz w:val="14"/>
              </w:rPr>
              <w:t>Criteria</w:t>
            </w:r>
          </w:p>
        </w:tc>
        <w:tc>
          <w:tcPr>
            <w:tcW w:w="3096" w:type="dxa"/>
            <w:shd w:val="clear" w:color="auto" w:fill="1F4E79"/>
            <w:tcMar>
              <w:top w:w="35" w:type="dxa"/>
              <w:left w:w="45" w:type="dxa"/>
              <w:bottom w:w="35" w:type="dxa"/>
              <w:right w:w="45" w:type="dxa"/>
            </w:tcMar>
            <w:vAlign w:val="center"/>
          </w:tcPr>
          <w:p w14:paraId="04CF6C6D" w14:textId="77777777" w:rsidR="00DD57B9" w:rsidRDefault="00000000">
            <w:pPr>
              <w:spacing w:line="216" w:lineRule="auto"/>
            </w:pPr>
            <w:r>
              <w:rPr>
                <w:b/>
                <w:color w:val="FFFFFF"/>
                <w:sz w:val="14"/>
              </w:rPr>
              <w:t>Melbourne CBD</w:t>
            </w:r>
          </w:p>
        </w:tc>
        <w:tc>
          <w:tcPr>
            <w:tcW w:w="3096" w:type="dxa"/>
            <w:shd w:val="clear" w:color="auto" w:fill="1F4E79"/>
            <w:tcMar>
              <w:top w:w="35" w:type="dxa"/>
              <w:left w:w="45" w:type="dxa"/>
              <w:bottom w:w="35" w:type="dxa"/>
              <w:right w:w="45" w:type="dxa"/>
            </w:tcMar>
            <w:vAlign w:val="center"/>
          </w:tcPr>
          <w:p w14:paraId="247F46A6" w14:textId="77777777" w:rsidR="00DD57B9" w:rsidRDefault="00000000">
            <w:pPr>
              <w:spacing w:line="216" w:lineRule="auto"/>
            </w:pPr>
            <w:r>
              <w:rPr>
                <w:b/>
                <w:color w:val="FFFFFF"/>
                <w:sz w:val="14"/>
              </w:rPr>
              <w:t>Docklands</w:t>
            </w:r>
          </w:p>
        </w:tc>
        <w:tc>
          <w:tcPr>
            <w:tcW w:w="3096" w:type="dxa"/>
            <w:shd w:val="clear" w:color="auto" w:fill="1F4E79"/>
            <w:tcMar>
              <w:top w:w="35" w:type="dxa"/>
              <w:left w:w="45" w:type="dxa"/>
              <w:bottom w:w="35" w:type="dxa"/>
              <w:right w:w="45" w:type="dxa"/>
            </w:tcMar>
            <w:vAlign w:val="center"/>
          </w:tcPr>
          <w:p w14:paraId="41C618DC" w14:textId="77777777" w:rsidR="00DD57B9" w:rsidRDefault="00000000">
            <w:pPr>
              <w:spacing w:line="216" w:lineRule="auto"/>
            </w:pPr>
            <w:r>
              <w:rPr>
                <w:b/>
                <w:color w:val="FFFFFF"/>
                <w:sz w:val="14"/>
              </w:rPr>
              <w:t>Carlton</w:t>
            </w:r>
          </w:p>
        </w:tc>
      </w:tr>
      <w:tr w:rsidR="00DD57B9" w14:paraId="5B7AE459" w14:textId="77777777">
        <w:trPr>
          <w:cantSplit/>
          <w:jc w:val="center"/>
        </w:trPr>
        <w:tc>
          <w:tcPr>
            <w:tcW w:w="2016" w:type="dxa"/>
            <w:shd w:val="clear" w:color="auto" w:fill="D9EAF7"/>
            <w:tcMar>
              <w:top w:w="35" w:type="dxa"/>
              <w:left w:w="45" w:type="dxa"/>
              <w:bottom w:w="35" w:type="dxa"/>
              <w:right w:w="45" w:type="dxa"/>
            </w:tcMar>
            <w:vAlign w:val="center"/>
          </w:tcPr>
          <w:p w14:paraId="128C013C" w14:textId="77777777" w:rsidR="00DD57B9" w:rsidRDefault="00000000">
            <w:pPr>
              <w:spacing w:line="216" w:lineRule="auto"/>
            </w:pPr>
            <w:r>
              <w:rPr>
                <w:sz w:val="14"/>
              </w:rPr>
              <w:t>Target demand</w:t>
            </w:r>
          </w:p>
        </w:tc>
        <w:tc>
          <w:tcPr>
            <w:tcW w:w="3096" w:type="dxa"/>
            <w:tcMar>
              <w:top w:w="35" w:type="dxa"/>
              <w:left w:w="45" w:type="dxa"/>
              <w:bottom w:w="35" w:type="dxa"/>
              <w:right w:w="45" w:type="dxa"/>
            </w:tcMar>
            <w:vAlign w:val="center"/>
          </w:tcPr>
          <w:p w14:paraId="201802F6" w14:textId="77777777" w:rsidR="00DD57B9" w:rsidRDefault="00000000">
            <w:pPr>
              <w:spacing w:line="216" w:lineRule="auto"/>
            </w:pPr>
            <w:r>
              <w:rPr>
                <w:sz w:val="14"/>
              </w:rPr>
              <w:t>Strongest mix of corporate, international and leisure demand.</w:t>
            </w:r>
          </w:p>
        </w:tc>
        <w:tc>
          <w:tcPr>
            <w:tcW w:w="3096" w:type="dxa"/>
            <w:tcMar>
              <w:top w:w="35" w:type="dxa"/>
              <w:left w:w="45" w:type="dxa"/>
              <w:bottom w:w="35" w:type="dxa"/>
              <w:right w:w="45" w:type="dxa"/>
            </w:tcMar>
            <w:vAlign w:val="center"/>
          </w:tcPr>
          <w:p w14:paraId="543658A1" w14:textId="77777777" w:rsidR="00DD57B9" w:rsidRDefault="00000000">
            <w:pPr>
              <w:spacing w:line="216" w:lineRule="auto"/>
            </w:pPr>
            <w:r>
              <w:rPr>
                <w:sz w:val="14"/>
              </w:rPr>
              <w:t>Strong event, transport and corporate demand.</w:t>
            </w:r>
          </w:p>
        </w:tc>
        <w:tc>
          <w:tcPr>
            <w:tcW w:w="3096" w:type="dxa"/>
            <w:tcMar>
              <w:top w:w="35" w:type="dxa"/>
              <w:left w:w="45" w:type="dxa"/>
              <w:bottom w:w="35" w:type="dxa"/>
              <w:right w:w="45" w:type="dxa"/>
            </w:tcMar>
            <w:vAlign w:val="center"/>
          </w:tcPr>
          <w:p w14:paraId="43F2FA58" w14:textId="77777777" w:rsidR="00DD57B9" w:rsidRDefault="00000000">
            <w:pPr>
              <w:spacing w:line="216" w:lineRule="auto"/>
            </w:pPr>
            <w:r>
              <w:rPr>
                <w:sz w:val="14"/>
              </w:rPr>
              <w:t>University, medical, cultural and extended-stay demand.</w:t>
            </w:r>
          </w:p>
        </w:tc>
      </w:tr>
      <w:tr w:rsidR="00DD57B9" w14:paraId="7AC1430C" w14:textId="77777777">
        <w:trPr>
          <w:cantSplit/>
          <w:jc w:val="center"/>
        </w:trPr>
        <w:tc>
          <w:tcPr>
            <w:tcW w:w="2016" w:type="dxa"/>
            <w:shd w:val="clear" w:color="auto" w:fill="D9EAF7"/>
            <w:tcMar>
              <w:top w:w="35" w:type="dxa"/>
              <w:left w:w="45" w:type="dxa"/>
              <w:bottom w:w="35" w:type="dxa"/>
              <w:right w:w="45" w:type="dxa"/>
            </w:tcMar>
            <w:vAlign w:val="center"/>
          </w:tcPr>
          <w:p w14:paraId="14971722" w14:textId="77777777" w:rsidR="00DD57B9" w:rsidRDefault="00000000">
            <w:pPr>
              <w:spacing w:line="216" w:lineRule="auto"/>
            </w:pPr>
            <w:r>
              <w:rPr>
                <w:b/>
                <w:sz w:val="14"/>
              </w:rPr>
              <w:lastRenderedPageBreak/>
              <w:t>Guest and airport accessibility</w:t>
            </w:r>
          </w:p>
        </w:tc>
        <w:tc>
          <w:tcPr>
            <w:tcW w:w="3096" w:type="dxa"/>
            <w:shd w:val="clear" w:color="auto" w:fill="F8FAFC"/>
            <w:tcMar>
              <w:top w:w="35" w:type="dxa"/>
              <w:left w:w="45" w:type="dxa"/>
              <w:bottom w:w="35" w:type="dxa"/>
              <w:right w:w="45" w:type="dxa"/>
            </w:tcMar>
            <w:vAlign w:val="center"/>
          </w:tcPr>
          <w:p w14:paraId="035F1CF1" w14:textId="77777777" w:rsidR="00DD57B9" w:rsidRDefault="00000000">
            <w:pPr>
              <w:spacing w:line="216" w:lineRule="auto"/>
            </w:pPr>
            <w:r>
              <w:rPr>
                <w:sz w:val="14"/>
              </w:rPr>
              <w:t>Excellent train, tram and bus access; strong airport transfer options, but kerbside drop-off and luggage-friendly walking conditions depend on the street.</w:t>
            </w:r>
          </w:p>
        </w:tc>
        <w:tc>
          <w:tcPr>
            <w:tcW w:w="3096" w:type="dxa"/>
            <w:shd w:val="clear" w:color="auto" w:fill="F8FAFC"/>
            <w:tcMar>
              <w:top w:w="35" w:type="dxa"/>
              <w:left w:w="45" w:type="dxa"/>
              <w:bottom w:w="35" w:type="dxa"/>
              <w:right w:w="45" w:type="dxa"/>
            </w:tcMar>
            <w:vAlign w:val="center"/>
          </w:tcPr>
          <w:p w14:paraId="72E5F5C1" w14:textId="77777777" w:rsidR="00DD57B9" w:rsidRDefault="00000000">
            <w:pPr>
              <w:spacing w:line="216" w:lineRule="auto"/>
            </w:pPr>
            <w:r>
              <w:rPr>
                <w:sz w:val="14"/>
              </w:rPr>
              <w:t>Excellent access to Southern Cross Station, airport coaches and trams; generally convenient for guests carrying luggage.</w:t>
            </w:r>
          </w:p>
        </w:tc>
        <w:tc>
          <w:tcPr>
            <w:tcW w:w="3096" w:type="dxa"/>
            <w:shd w:val="clear" w:color="auto" w:fill="F8FAFC"/>
            <w:tcMar>
              <w:top w:w="35" w:type="dxa"/>
              <w:left w:w="45" w:type="dxa"/>
              <w:bottom w:w="35" w:type="dxa"/>
              <w:right w:w="45" w:type="dxa"/>
            </w:tcMar>
            <w:vAlign w:val="center"/>
          </w:tcPr>
          <w:p w14:paraId="7B11F3C2" w14:textId="77777777" w:rsidR="00DD57B9" w:rsidRDefault="00000000">
            <w:pPr>
              <w:spacing w:line="216" w:lineRule="auto"/>
            </w:pPr>
            <w:r>
              <w:rPr>
                <w:sz w:val="14"/>
              </w:rPr>
              <w:t>Good tram access to the CBD and university precinct; less direct airport access and some streets may be less convenient with luggage.</w:t>
            </w:r>
          </w:p>
        </w:tc>
      </w:tr>
      <w:tr w:rsidR="00DD57B9" w14:paraId="43C5FCEB" w14:textId="77777777">
        <w:trPr>
          <w:cantSplit/>
          <w:jc w:val="center"/>
        </w:trPr>
        <w:tc>
          <w:tcPr>
            <w:tcW w:w="2016" w:type="dxa"/>
            <w:shd w:val="clear" w:color="auto" w:fill="D9EAF7"/>
            <w:tcMar>
              <w:top w:w="35" w:type="dxa"/>
              <w:left w:w="45" w:type="dxa"/>
              <w:bottom w:w="35" w:type="dxa"/>
              <w:right w:w="45" w:type="dxa"/>
            </w:tcMar>
            <w:vAlign w:val="center"/>
          </w:tcPr>
          <w:p w14:paraId="63362103" w14:textId="77777777" w:rsidR="00DD57B9" w:rsidRDefault="00000000">
            <w:pPr>
              <w:spacing w:line="216" w:lineRule="auto"/>
            </w:pPr>
            <w:r>
              <w:rPr>
                <w:sz w:val="14"/>
              </w:rPr>
              <w:t>Demand stability</w:t>
            </w:r>
          </w:p>
        </w:tc>
        <w:tc>
          <w:tcPr>
            <w:tcW w:w="3096" w:type="dxa"/>
            <w:tcMar>
              <w:top w:w="35" w:type="dxa"/>
              <w:left w:w="45" w:type="dxa"/>
              <w:bottom w:w="35" w:type="dxa"/>
              <w:right w:w="45" w:type="dxa"/>
            </w:tcMar>
            <w:vAlign w:val="center"/>
          </w:tcPr>
          <w:p w14:paraId="2E9D6175" w14:textId="77777777" w:rsidR="00DD57B9" w:rsidRDefault="00000000">
            <w:pPr>
              <w:spacing w:line="216" w:lineRule="auto"/>
            </w:pPr>
            <w:r>
              <w:rPr>
                <w:sz w:val="14"/>
              </w:rPr>
              <w:t>Expected to be the most stable throughout the year.</w:t>
            </w:r>
          </w:p>
        </w:tc>
        <w:tc>
          <w:tcPr>
            <w:tcW w:w="3096" w:type="dxa"/>
            <w:tcMar>
              <w:top w:w="35" w:type="dxa"/>
              <w:left w:w="45" w:type="dxa"/>
              <w:bottom w:w="35" w:type="dxa"/>
              <w:right w:w="45" w:type="dxa"/>
            </w:tcMar>
            <w:vAlign w:val="center"/>
          </w:tcPr>
          <w:p w14:paraId="66B09886" w14:textId="77777777" w:rsidR="00DD57B9" w:rsidRDefault="00000000">
            <w:pPr>
              <w:spacing w:line="216" w:lineRule="auto"/>
            </w:pPr>
            <w:r>
              <w:rPr>
                <w:sz w:val="14"/>
              </w:rPr>
              <w:t>More exposed to stadium, concert and event cycles.</w:t>
            </w:r>
          </w:p>
        </w:tc>
        <w:tc>
          <w:tcPr>
            <w:tcW w:w="3096" w:type="dxa"/>
            <w:tcMar>
              <w:top w:w="35" w:type="dxa"/>
              <w:left w:w="45" w:type="dxa"/>
              <w:bottom w:w="35" w:type="dxa"/>
              <w:right w:w="45" w:type="dxa"/>
            </w:tcMar>
            <w:vAlign w:val="center"/>
          </w:tcPr>
          <w:p w14:paraId="1FD83069" w14:textId="77777777" w:rsidR="00DD57B9" w:rsidRDefault="00000000">
            <w:pPr>
              <w:spacing w:line="216" w:lineRule="auto"/>
            </w:pPr>
            <w:r>
              <w:rPr>
                <w:sz w:val="14"/>
              </w:rPr>
              <w:t>Potentially stable for university, medical and longer stays, but smaller conventional hotel market.</w:t>
            </w:r>
          </w:p>
        </w:tc>
      </w:tr>
      <w:tr w:rsidR="00DD57B9" w14:paraId="5D0706A0" w14:textId="77777777">
        <w:trPr>
          <w:cantSplit/>
          <w:jc w:val="center"/>
        </w:trPr>
        <w:tc>
          <w:tcPr>
            <w:tcW w:w="2016" w:type="dxa"/>
            <w:shd w:val="clear" w:color="auto" w:fill="D9EAF7"/>
            <w:tcMar>
              <w:top w:w="35" w:type="dxa"/>
              <w:left w:w="45" w:type="dxa"/>
              <w:bottom w:w="35" w:type="dxa"/>
              <w:right w:w="45" w:type="dxa"/>
            </w:tcMar>
            <w:vAlign w:val="center"/>
          </w:tcPr>
          <w:p w14:paraId="1D8495DF" w14:textId="77777777" w:rsidR="00DD57B9" w:rsidRDefault="00000000">
            <w:pPr>
              <w:spacing w:line="216" w:lineRule="auto"/>
            </w:pPr>
            <w:r>
              <w:rPr>
                <w:sz w:val="14"/>
              </w:rPr>
              <w:t>Facilities</w:t>
            </w:r>
          </w:p>
        </w:tc>
        <w:tc>
          <w:tcPr>
            <w:tcW w:w="3096" w:type="dxa"/>
            <w:shd w:val="clear" w:color="auto" w:fill="F8FAFC"/>
            <w:tcMar>
              <w:top w:w="35" w:type="dxa"/>
              <w:left w:w="45" w:type="dxa"/>
              <w:bottom w:w="35" w:type="dxa"/>
              <w:right w:w="45" w:type="dxa"/>
            </w:tcMar>
            <w:vAlign w:val="center"/>
          </w:tcPr>
          <w:p w14:paraId="02763EF8" w14:textId="77777777" w:rsidR="00DD57B9" w:rsidRDefault="00000000">
            <w:pPr>
              <w:spacing w:line="216" w:lineRule="auto"/>
            </w:pPr>
            <w:r>
              <w:rPr>
                <w:sz w:val="14"/>
              </w:rPr>
              <w:t>Largest range of offices, retail, dining, theatres and attractions.</w:t>
            </w:r>
          </w:p>
        </w:tc>
        <w:tc>
          <w:tcPr>
            <w:tcW w:w="3096" w:type="dxa"/>
            <w:shd w:val="clear" w:color="auto" w:fill="F8FAFC"/>
            <w:tcMar>
              <w:top w:w="35" w:type="dxa"/>
              <w:left w:w="45" w:type="dxa"/>
              <w:bottom w:w="35" w:type="dxa"/>
              <w:right w:w="45" w:type="dxa"/>
            </w:tcMar>
            <w:vAlign w:val="center"/>
          </w:tcPr>
          <w:p w14:paraId="0D5A50FE" w14:textId="77777777" w:rsidR="00DD57B9" w:rsidRDefault="00000000">
            <w:pPr>
              <w:spacing w:line="216" w:lineRule="auto"/>
            </w:pPr>
            <w:r>
              <w:rPr>
                <w:sz w:val="14"/>
              </w:rPr>
              <w:t>Marvel Stadium, waterfront, offices and Southern Cross transport hub.</w:t>
            </w:r>
          </w:p>
        </w:tc>
        <w:tc>
          <w:tcPr>
            <w:tcW w:w="3096" w:type="dxa"/>
            <w:shd w:val="clear" w:color="auto" w:fill="F8FAFC"/>
            <w:tcMar>
              <w:top w:w="35" w:type="dxa"/>
              <w:left w:w="45" w:type="dxa"/>
              <w:bottom w:w="35" w:type="dxa"/>
              <w:right w:w="45" w:type="dxa"/>
            </w:tcMar>
            <w:vAlign w:val="center"/>
          </w:tcPr>
          <w:p w14:paraId="5CE1C9C9" w14:textId="77777777" w:rsidR="00DD57B9" w:rsidRDefault="00000000">
            <w:pPr>
              <w:spacing w:line="216" w:lineRule="auto"/>
            </w:pPr>
            <w:r>
              <w:rPr>
                <w:sz w:val="14"/>
              </w:rPr>
              <w:t>University of Melbourne, Melbourne Museum, Royal Exhibition Building, Lygon Street and nearby hospitals.</w:t>
            </w:r>
          </w:p>
        </w:tc>
      </w:tr>
      <w:tr w:rsidR="00DD57B9" w14:paraId="7A13F182" w14:textId="77777777">
        <w:trPr>
          <w:cantSplit/>
          <w:jc w:val="center"/>
        </w:trPr>
        <w:tc>
          <w:tcPr>
            <w:tcW w:w="2016" w:type="dxa"/>
            <w:shd w:val="clear" w:color="auto" w:fill="D9EAF7"/>
            <w:tcMar>
              <w:top w:w="35" w:type="dxa"/>
              <w:left w:w="45" w:type="dxa"/>
              <w:bottom w:w="35" w:type="dxa"/>
              <w:right w:w="45" w:type="dxa"/>
            </w:tcMar>
            <w:vAlign w:val="center"/>
          </w:tcPr>
          <w:p w14:paraId="71960376" w14:textId="77777777" w:rsidR="00DD57B9" w:rsidRDefault="00000000">
            <w:pPr>
              <w:spacing w:line="216" w:lineRule="auto"/>
            </w:pPr>
            <w:r>
              <w:rPr>
                <w:sz w:val="14"/>
              </w:rPr>
              <w:t>Competition</w:t>
            </w:r>
          </w:p>
        </w:tc>
        <w:tc>
          <w:tcPr>
            <w:tcW w:w="3096" w:type="dxa"/>
            <w:tcMar>
              <w:top w:w="35" w:type="dxa"/>
              <w:left w:w="45" w:type="dxa"/>
              <w:bottom w:w="35" w:type="dxa"/>
              <w:right w:w="45" w:type="dxa"/>
            </w:tcMar>
            <w:vAlign w:val="center"/>
          </w:tcPr>
          <w:p w14:paraId="230FAFD1" w14:textId="77777777" w:rsidR="00DD57B9" w:rsidRDefault="00000000">
            <w:pPr>
              <w:spacing w:line="216" w:lineRule="auto"/>
            </w:pPr>
            <w:r>
              <w:rPr>
                <w:sz w:val="14"/>
              </w:rPr>
              <w:t>Very high; many luxury, upscale and serviced-apartment brands.</w:t>
            </w:r>
          </w:p>
        </w:tc>
        <w:tc>
          <w:tcPr>
            <w:tcW w:w="3096" w:type="dxa"/>
            <w:tcMar>
              <w:top w:w="35" w:type="dxa"/>
              <w:left w:w="45" w:type="dxa"/>
              <w:bottom w:w="35" w:type="dxa"/>
              <w:right w:w="45" w:type="dxa"/>
            </w:tcMar>
            <w:vAlign w:val="center"/>
          </w:tcPr>
          <w:p w14:paraId="2BD8B8C6" w14:textId="77777777" w:rsidR="00DD57B9" w:rsidRDefault="00000000">
            <w:pPr>
              <w:spacing w:line="216" w:lineRule="auto"/>
            </w:pPr>
            <w:r>
              <w:rPr>
                <w:sz w:val="14"/>
              </w:rPr>
              <w:t>Moderate to high, concentrated around the stadium and station.</w:t>
            </w:r>
          </w:p>
        </w:tc>
        <w:tc>
          <w:tcPr>
            <w:tcW w:w="3096" w:type="dxa"/>
            <w:tcMar>
              <w:top w:w="35" w:type="dxa"/>
              <w:left w:w="45" w:type="dxa"/>
              <w:bottom w:w="35" w:type="dxa"/>
              <w:right w:w="45" w:type="dxa"/>
            </w:tcMar>
            <w:vAlign w:val="center"/>
          </w:tcPr>
          <w:p w14:paraId="34354139" w14:textId="77777777" w:rsidR="00DD57B9" w:rsidRDefault="00000000">
            <w:pPr>
              <w:spacing w:line="216" w:lineRule="auto"/>
            </w:pPr>
            <w:r>
              <w:rPr>
                <w:sz w:val="14"/>
              </w:rPr>
              <w:t>Smaller hotel market, but strong boutique, university-adjacent and value competition.</w:t>
            </w:r>
          </w:p>
        </w:tc>
      </w:tr>
      <w:tr w:rsidR="00DD57B9" w14:paraId="26B045B6" w14:textId="77777777">
        <w:trPr>
          <w:cantSplit/>
          <w:jc w:val="center"/>
        </w:trPr>
        <w:tc>
          <w:tcPr>
            <w:tcW w:w="2016" w:type="dxa"/>
            <w:shd w:val="clear" w:color="auto" w:fill="D9EAF7"/>
            <w:tcMar>
              <w:top w:w="35" w:type="dxa"/>
              <w:left w:w="45" w:type="dxa"/>
              <w:bottom w:w="35" w:type="dxa"/>
              <w:right w:w="45" w:type="dxa"/>
            </w:tcMar>
            <w:vAlign w:val="center"/>
          </w:tcPr>
          <w:p w14:paraId="6A250534" w14:textId="77777777" w:rsidR="00DD57B9" w:rsidRDefault="00000000">
            <w:pPr>
              <w:spacing w:line="216" w:lineRule="auto"/>
            </w:pPr>
            <w:r>
              <w:rPr>
                <w:sz w:val="14"/>
              </w:rPr>
              <w:t>Cost</w:t>
            </w:r>
          </w:p>
        </w:tc>
        <w:tc>
          <w:tcPr>
            <w:tcW w:w="3096" w:type="dxa"/>
            <w:shd w:val="clear" w:color="auto" w:fill="F8FAFC"/>
            <w:tcMar>
              <w:top w:w="35" w:type="dxa"/>
              <w:left w:w="45" w:type="dxa"/>
              <w:bottom w:w="35" w:type="dxa"/>
              <w:right w:w="45" w:type="dxa"/>
            </w:tcMar>
            <w:vAlign w:val="center"/>
          </w:tcPr>
          <w:p w14:paraId="29459B32" w14:textId="77777777" w:rsidR="00DD57B9" w:rsidRDefault="00000000">
            <w:pPr>
              <w:spacing w:line="216" w:lineRule="auto"/>
            </w:pPr>
            <w:r>
              <w:rPr>
                <w:sz w:val="14"/>
              </w:rPr>
              <w:t>Likely highest property and operating cost.</w:t>
            </w:r>
          </w:p>
        </w:tc>
        <w:tc>
          <w:tcPr>
            <w:tcW w:w="3096" w:type="dxa"/>
            <w:shd w:val="clear" w:color="auto" w:fill="F8FAFC"/>
            <w:tcMar>
              <w:top w:w="35" w:type="dxa"/>
              <w:left w:w="45" w:type="dxa"/>
              <w:bottom w:w="35" w:type="dxa"/>
              <w:right w:w="45" w:type="dxa"/>
            </w:tcMar>
            <w:vAlign w:val="center"/>
          </w:tcPr>
          <w:p w14:paraId="6E5F97F1" w14:textId="77777777" w:rsidR="00DD57B9" w:rsidRDefault="00000000">
            <w:pPr>
              <w:spacing w:line="216" w:lineRule="auto"/>
            </w:pPr>
            <w:r>
              <w:rPr>
                <w:sz w:val="14"/>
              </w:rPr>
              <w:t>Potentially more affordable than the CBD core; larger sites may be available.</w:t>
            </w:r>
          </w:p>
        </w:tc>
        <w:tc>
          <w:tcPr>
            <w:tcW w:w="3096" w:type="dxa"/>
            <w:shd w:val="clear" w:color="auto" w:fill="F8FAFC"/>
            <w:tcMar>
              <w:top w:w="35" w:type="dxa"/>
              <w:left w:w="45" w:type="dxa"/>
              <w:bottom w:w="35" w:type="dxa"/>
              <w:right w:w="45" w:type="dxa"/>
            </w:tcMar>
            <w:vAlign w:val="center"/>
          </w:tcPr>
          <w:p w14:paraId="6454DD07" w14:textId="77777777" w:rsidR="00DD57B9" w:rsidRDefault="00000000">
            <w:pPr>
              <w:spacing w:line="216" w:lineRule="auto"/>
            </w:pPr>
            <w:r>
              <w:rPr>
                <w:sz w:val="14"/>
              </w:rPr>
              <w:t>Potentially lower than prime CBD, but suitable hotel properties may be limited.</w:t>
            </w:r>
          </w:p>
        </w:tc>
      </w:tr>
      <w:tr w:rsidR="00DD57B9" w14:paraId="6EEF6C97" w14:textId="77777777">
        <w:trPr>
          <w:cantSplit/>
          <w:jc w:val="center"/>
        </w:trPr>
        <w:tc>
          <w:tcPr>
            <w:tcW w:w="2016" w:type="dxa"/>
            <w:shd w:val="clear" w:color="auto" w:fill="D9EAF7"/>
            <w:tcMar>
              <w:top w:w="35" w:type="dxa"/>
              <w:left w:w="45" w:type="dxa"/>
              <w:bottom w:w="35" w:type="dxa"/>
              <w:right w:w="45" w:type="dxa"/>
            </w:tcMar>
            <w:vAlign w:val="center"/>
          </w:tcPr>
          <w:p w14:paraId="536F2DBC" w14:textId="77777777" w:rsidR="00DD57B9" w:rsidRDefault="00000000">
            <w:pPr>
              <w:spacing w:line="216" w:lineRule="auto"/>
            </w:pPr>
            <w:r>
              <w:rPr>
                <w:sz w:val="14"/>
              </w:rPr>
              <w:t>Brand expansion</w:t>
            </w:r>
          </w:p>
        </w:tc>
        <w:tc>
          <w:tcPr>
            <w:tcW w:w="3096" w:type="dxa"/>
            <w:tcMar>
              <w:top w:w="35" w:type="dxa"/>
              <w:left w:w="45" w:type="dxa"/>
              <w:bottom w:w="35" w:type="dxa"/>
              <w:right w:w="45" w:type="dxa"/>
            </w:tcMar>
            <w:vAlign w:val="center"/>
          </w:tcPr>
          <w:p w14:paraId="6B3A5E3C" w14:textId="77777777" w:rsidR="00DD57B9" w:rsidRDefault="00000000">
            <w:pPr>
              <w:spacing w:line="216" w:lineRule="auto"/>
            </w:pPr>
            <w:r>
              <w:rPr>
                <w:sz w:val="14"/>
              </w:rPr>
              <w:t>Strong geographic expansion, but overlaps with some central-city leisure demand served from Southbank.</w:t>
            </w:r>
          </w:p>
        </w:tc>
        <w:tc>
          <w:tcPr>
            <w:tcW w:w="3096" w:type="dxa"/>
            <w:tcMar>
              <w:top w:w="35" w:type="dxa"/>
              <w:left w:w="45" w:type="dxa"/>
              <w:bottom w:w="35" w:type="dxa"/>
              <w:right w:w="45" w:type="dxa"/>
            </w:tcMar>
            <w:vAlign w:val="center"/>
          </w:tcPr>
          <w:p w14:paraId="393E14F0" w14:textId="77777777" w:rsidR="00DD57B9" w:rsidRDefault="00000000">
            <w:pPr>
              <w:spacing w:line="216" w:lineRule="auto"/>
            </w:pPr>
            <w:r>
              <w:rPr>
                <w:sz w:val="14"/>
              </w:rPr>
              <w:t>Good expansion to western Melbourne and transport/event customers.</w:t>
            </w:r>
          </w:p>
        </w:tc>
        <w:tc>
          <w:tcPr>
            <w:tcW w:w="3096" w:type="dxa"/>
            <w:tcMar>
              <w:top w:w="35" w:type="dxa"/>
              <w:left w:w="45" w:type="dxa"/>
              <w:bottom w:w="35" w:type="dxa"/>
              <w:right w:w="45" w:type="dxa"/>
            </w:tcMar>
            <w:vAlign w:val="center"/>
          </w:tcPr>
          <w:p w14:paraId="1DB61FD2" w14:textId="77777777" w:rsidR="00DD57B9" w:rsidRDefault="00000000">
            <w:pPr>
              <w:spacing w:line="216" w:lineRule="auto"/>
            </w:pPr>
            <w:r>
              <w:rPr>
                <w:sz w:val="14"/>
              </w:rPr>
              <w:t>Strongest customer diversification and lowest direct overlap with the Southbank property.</w:t>
            </w:r>
          </w:p>
        </w:tc>
      </w:tr>
      <w:tr w:rsidR="00DD57B9" w14:paraId="31929644" w14:textId="77777777">
        <w:trPr>
          <w:cantSplit/>
          <w:jc w:val="center"/>
        </w:trPr>
        <w:tc>
          <w:tcPr>
            <w:tcW w:w="2016" w:type="dxa"/>
            <w:shd w:val="clear" w:color="auto" w:fill="D9EAF7"/>
            <w:tcMar>
              <w:top w:w="35" w:type="dxa"/>
              <w:left w:w="45" w:type="dxa"/>
              <w:bottom w:w="35" w:type="dxa"/>
              <w:right w:w="45" w:type="dxa"/>
            </w:tcMar>
            <w:vAlign w:val="center"/>
          </w:tcPr>
          <w:p w14:paraId="7225CA9F" w14:textId="77777777" w:rsidR="00DD57B9" w:rsidRDefault="00000000">
            <w:pPr>
              <w:spacing w:line="216" w:lineRule="auto"/>
            </w:pPr>
            <w:r>
              <w:rPr>
                <w:sz w:val="14"/>
              </w:rPr>
              <w:t>Main risk</w:t>
            </w:r>
          </w:p>
        </w:tc>
        <w:tc>
          <w:tcPr>
            <w:tcW w:w="3096" w:type="dxa"/>
            <w:shd w:val="clear" w:color="auto" w:fill="F8FAFC"/>
            <w:tcMar>
              <w:top w:w="35" w:type="dxa"/>
              <w:left w:w="45" w:type="dxa"/>
              <w:bottom w:w="35" w:type="dxa"/>
              <w:right w:w="45" w:type="dxa"/>
            </w:tcMar>
            <w:vAlign w:val="center"/>
          </w:tcPr>
          <w:p w14:paraId="2EDB3A03" w14:textId="77777777" w:rsidR="00DD57B9" w:rsidRDefault="00000000">
            <w:pPr>
              <w:spacing w:line="216" w:lineRule="auto"/>
            </w:pPr>
            <w:r>
              <w:rPr>
                <w:sz w:val="14"/>
              </w:rPr>
              <w:t>High rent and strong external competition.</w:t>
            </w:r>
          </w:p>
        </w:tc>
        <w:tc>
          <w:tcPr>
            <w:tcW w:w="3096" w:type="dxa"/>
            <w:shd w:val="clear" w:color="auto" w:fill="F8FAFC"/>
            <w:tcMar>
              <w:top w:w="35" w:type="dxa"/>
              <w:left w:w="45" w:type="dxa"/>
              <w:bottom w:w="35" w:type="dxa"/>
              <w:right w:w="45" w:type="dxa"/>
            </w:tcMar>
            <w:vAlign w:val="center"/>
          </w:tcPr>
          <w:p w14:paraId="2B4D4F7F" w14:textId="77777777" w:rsidR="00DD57B9" w:rsidRDefault="00000000">
            <w:pPr>
              <w:spacing w:line="216" w:lineRule="auto"/>
            </w:pPr>
            <w:r>
              <w:rPr>
                <w:sz w:val="14"/>
              </w:rPr>
              <w:t>Event dependence and quieter non-event periods.</w:t>
            </w:r>
          </w:p>
        </w:tc>
        <w:tc>
          <w:tcPr>
            <w:tcW w:w="3096" w:type="dxa"/>
            <w:shd w:val="clear" w:color="auto" w:fill="F8FAFC"/>
            <w:tcMar>
              <w:top w:w="35" w:type="dxa"/>
              <w:left w:w="45" w:type="dxa"/>
              <w:bottom w:w="35" w:type="dxa"/>
              <w:right w:w="45" w:type="dxa"/>
            </w:tcMar>
            <w:vAlign w:val="center"/>
          </w:tcPr>
          <w:p w14:paraId="4FEF7CC6" w14:textId="77777777" w:rsidR="00DD57B9" w:rsidRDefault="00000000">
            <w:pPr>
              <w:spacing w:line="216" w:lineRule="auto"/>
            </w:pPr>
            <w:r>
              <w:rPr>
                <w:sz w:val="14"/>
              </w:rPr>
              <w:t>Demand scale and hotel-property availability require validation.</w:t>
            </w:r>
          </w:p>
        </w:tc>
      </w:tr>
      <w:tr w:rsidR="00DD57B9" w14:paraId="75F742D8" w14:textId="77777777">
        <w:trPr>
          <w:cantSplit/>
          <w:jc w:val="center"/>
        </w:trPr>
        <w:tc>
          <w:tcPr>
            <w:tcW w:w="2016" w:type="dxa"/>
            <w:shd w:val="clear" w:color="auto" w:fill="D9EAF7"/>
            <w:tcMar>
              <w:top w:w="35" w:type="dxa"/>
              <w:left w:w="45" w:type="dxa"/>
              <w:bottom w:w="35" w:type="dxa"/>
              <w:right w:w="45" w:type="dxa"/>
            </w:tcMar>
            <w:vAlign w:val="center"/>
          </w:tcPr>
          <w:p w14:paraId="5F9B7C7A" w14:textId="77777777" w:rsidR="00DD57B9" w:rsidRDefault="00000000">
            <w:pPr>
              <w:spacing w:line="216" w:lineRule="auto"/>
            </w:pPr>
            <w:r>
              <w:rPr>
                <w:sz w:val="14"/>
              </w:rPr>
              <w:t>Future development</w:t>
            </w:r>
          </w:p>
        </w:tc>
        <w:tc>
          <w:tcPr>
            <w:tcW w:w="3096" w:type="dxa"/>
            <w:tcMar>
              <w:top w:w="35" w:type="dxa"/>
              <w:left w:w="45" w:type="dxa"/>
              <w:bottom w:w="35" w:type="dxa"/>
              <w:right w:w="45" w:type="dxa"/>
            </w:tcMar>
            <w:vAlign w:val="center"/>
          </w:tcPr>
          <w:p w14:paraId="6B0342FD" w14:textId="77777777" w:rsidR="00DD57B9" w:rsidRDefault="00000000">
            <w:pPr>
              <w:spacing w:line="216" w:lineRule="auto"/>
            </w:pPr>
            <w:r>
              <w:rPr>
                <w:sz w:val="14"/>
              </w:rPr>
              <w:t>Ongoing commercial, tourism and public-realm investment.</w:t>
            </w:r>
          </w:p>
        </w:tc>
        <w:tc>
          <w:tcPr>
            <w:tcW w:w="3096" w:type="dxa"/>
            <w:tcMar>
              <w:top w:w="35" w:type="dxa"/>
              <w:left w:w="45" w:type="dxa"/>
              <w:bottom w:w="35" w:type="dxa"/>
              <w:right w:w="45" w:type="dxa"/>
            </w:tcMar>
            <w:vAlign w:val="center"/>
          </w:tcPr>
          <w:p w14:paraId="772DC89C" w14:textId="77777777" w:rsidR="00DD57B9" w:rsidRDefault="00000000">
            <w:pPr>
              <w:spacing w:line="216" w:lineRule="auto"/>
            </w:pPr>
            <w:r>
              <w:rPr>
                <w:sz w:val="14"/>
              </w:rPr>
              <w:t>Urban renewal, waterfront development and the upgraded Marvel Stadium precinct.</w:t>
            </w:r>
          </w:p>
        </w:tc>
        <w:tc>
          <w:tcPr>
            <w:tcW w:w="3096" w:type="dxa"/>
            <w:tcMar>
              <w:top w:w="35" w:type="dxa"/>
              <w:left w:w="45" w:type="dxa"/>
              <w:bottom w:w="35" w:type="dxa"/>
              <w:right w:w="45" w:type="dxa"/>
            </w:tcMar>
            <w:vAlign w:val="center"/>
          </w:tcPr>
          <w:p w14:paraId="32760DAC" w14:textId="77777777" w:rsidR="00DD57B9" w:rsidRDefault="00000000">
            <w:pPr>
              <w:spacing w:line="216" w:lineRule="auto"/>
            </w:pPr>
            <w:r>
              <w:rPr>
                <w:sz w:val="14"/>
              </w:rPr>
              <w:t>Continued university, research, medical and cultural activity supports long-term visitor demand.</w:t>
            </w:r>
          </w:p>
        </w:tc>
      </w:tr>
      <w:tr w:rsidR="00DD57B9" w14:paraId="311ED352" w14:textId="77777777">
        <w:trPr>
          <w:jc w:val="center"/>
        </w:trPr>
        <w:tc>
          <w:tcPr>
            <w:tcW w:w="2556" w:type="dxa"/>
            <w:shd w:val="clear" w:color="auto" w:fill="D9EAF7"/>
            <w:tcMar>
              <w:top w:w="35" w:type="dxa"/>
              <w:left w:w="45" w:type="dxa"/>
              <w:bottom w:w="35" w:type="dxa"/>
              <w:right w:w="45" w:type="dxa"/>
            </w:tcMar>
            <w:vAlign w:val="center"/>
          </w:tcPr>
          <w:p w14:paraId="29CC3DA0" w14:textId="77777777" w:rsidR="00DD57B9" w:rsidRDefault="00000000">
            <w:pPr>
              <w:spacing w:line="216" w:lineRule="auto"/>
            </w:pPr>
            <w:r>
              <w:rPr>
                <w:b/>
                <w:sz w:val="14"/>
              </w:rPr>
              <w:t>Hotel market performance</w:t>
            </w:r>
          </w:p>
        </w:tc>
        <w:tc>
          <w:tcPr>
            <w:tcW w:w="2556" w:type="dxa"/>
            <w:tcMar>
              <w:top w:w="35" w:type="dxa"/>
              <w:left w:w="45" w:type="dxa"/>
              <w:bottom w:w="35" w:type="dxa"/>
              <w:right w:w="45" w:type="dxa"/>
            </w:tcMar>
            <w:vAlign w:val="center"/>
          </w:tcPr>
          <w:p w14:paraId="1B64DEFF" w14:textId="77777777" w:rsidR="00DD57B9" w:rsidRDefault="00000000">
            <w:pPr>
              <w:spacing w:line="216" w:lineRule="auto"/>
            </w:pPr>
            <w:r>
              <w:rPr>
                <w:sz w:val="14"/>
              </w:rPr>
              <w:t>Strongest expected occupancy and room-rate potential, but also the highest competition.</w:t>
            </w:r>
          </w:p>
        </w:tc>
        <w:tc>
          <w:tcPr>
            <w:tcW w:w="2556" w:type="dxa"/>
            <w:tcMar>
              <w:top w:w="35" w:type="dxa"/>
              <w:left w:w="45" w:type="dxa"/>
              <w:bottom w:w="35" w:type="dxa"/>
              <w:right w:w="45" w:type="dxa"/>
            </w:tcMar>
            <w:vAlign w:val="center"/>
          </w:tcPr>
          <w:p w14:paraId="07CB9523" w14:textId="77777777" w:rsidR="00DD57B9" w:rsidRDefault="00000000">
            <w:pPr>
              <w:spacing w:line="216" w:lineRule="auto"/>
            </w:pPr>
            <w:r>
              <w:rPr>
                <w:sz w:val="14"/>
              </w:rPr>
              <w:t>Event periods may lift rates and occupancy, while non-event demand may soften.</w:t>
            </w:r>
          </w:p>
        </w:tc>
        <w:tc>
          <w:tcPr>
            <w:tcW w:w="2556" w:type="dxa"/>
            <w:tcMar>
              <w:top w:w="35" w:type="dxa"/>
              <w:left w:w="45" w:type="dxa"/>
              <w:bottom w:w="35" w:type="dxa"/>
              <w:right w:w="45" w:type="dxa"/>
            </w:tcMar>
            <w:vAlign w:val="center"/>
          </w:tcPr>
          <w:p w14:paraId="2825118B" w14:textId="77777777" w:rsidR="00DD57B9" w:rsidRDefault="00000000">
            <w:pPr>
              <w:spacing w:line="216" w:lineRule="auto"/>
            </w:pPr>
            <w:r>
              <w:rPr>
                <w:sz w:val="14"/>
              </w:rPr>
              <w:t>Potentially stable university, medical and extended-stay demand, but the conventional hotel market is smaller.</w:t>
            </w:r>
          </w:p>
        </w:tc>
      </w:tr>
      <w:tr w:rsidR="00DD57B9" w14:paraId="27B634A2" w14:textId="77777777">
        <w:trPr>
          <w:jc w:val="center"/>
        </w:trPr>
        <w:tc>
          <w:tcPr>
            <w:tcW w:w="2556" w:type="dxa"/>
            <w:shd w:val="clear" w:color="auto" w:fill="D9EAF7"/>
            <w:tcMar>
              <w:top w:w="35" w:type="dxa"/>
              <w:left w:w="45" w:type="dxa"/>
              <w:bottom w:w="35" w:type="dxa"/>
              <w:right w:w="45" w:type="dxa"/>
            </w:tcMar>
            <w:vAlign w:val="center"/>
          </w:tcPr>
          <w:p w14:paraId="069DB1C1" w14:textId="77777777" w:rsidR="00DD57B9" w:rsidRDefault="00000000">
            <w:pPr>
              <w:spacing w:line="216" w:lineRule="auto"/>
            </w:pPr>
            <w:r>
              <w:rPr>
                <w:b/>
                <w:sz w:val="14"/>
              </w:rPr>
              <w:t>Planning and zoning compatibility</w:t>
            </w:r>
          </w:p>
        </w:tc>
        <w:tc>
          <w:tcPr>
            <w:tcW w:w="2556" w:type="dxa"/>
            <w:tcMar>
              <w:top w:w="35" w:type="dxa"/>
              <w:left w:w="45" w:type="dxa"/>
              <w:bottom w:w="35" w:type="dxa"/>
              <w:right w:w="45" w:type="dxa"/>
            </w:tcMar>
            <w:vAlign w:val="center"/>
          </w:tcPr>
          <w:p w14:paraId="6AB8FF18" w14:textId="77777777" w:rsidR="00DD57B9" w:rsidRDefault="00000000">
            <w:pPr>
              <w:spacing w:line="216" w:lineRule="auto"/>
            </w:pPr>
            <w:r>
              <w:rPr>
                <w:sz w:val="14"/>
              </w:rPr>
              <w:t>Hotel use is common, but heritage overlays, high-rise controls and change-of-use requirements may be complex.</w:t>
            </w:r>
          </w:p>
        </w:tc>
        <w:tc>
          <w:tcPr>
            <w:tcW w:w="2556" w:type="dxa"/>
            <w:tcMar>
              <w:top w:w="35" w:type="dxa"/>
              <w:left w:w="45" w:type="dxa"/>
              <w:bottom w:w="35" w:type="dxa"/>
              <w:right w:w="45" w:type="dxa"/>
            </w:tcMar>
            <w:vAlign w:val="center"/>
          </w:tcPr>
          <w:p w14:paraId="561F2E95" w14:textId="77777777" w:rsidR="00DD57B9" w:rsidRDefault="00000000">
            <w:pPr>
              <w:spacing w:line="216" w:lineRule="auto"/>
            </w:pPr>
            <w:r>
              <w:rPr>
                <w:sz w:val="14"/>
              </w:rPr>
              <w:t>Modern mixed-use precincts may support hotel development, subject to site-specific planning and building approvals.</w:t>
            </w:r>
          </w:p>
        </w:tc>
        <w:tc>
          <w:tcPr>
            <w:tcW w:w="2556" w:type="dxa"/>
            <w:tcMar>
              <w:top w:w="35" w:type="dxa"/>
              <w:left w:w="45" w:type="dxa"/>
              <w:bottom w:w="35" w:type="dxa"/>
              <w:right w:w="45" w:type="dxa"/>
            </w:tcMar>
            <w:vAlign w:val="center"/>
          </w:tcPr>
          <w:p w14:paraId="054AF56E" w14:textId="77777777" w:rsidR="00DD57B9" w:rsidRDefault="00000000">
            <w:pPr>
              <w:spacing w:line="216" w:lineRule="auto"/>
            </w:pPr>
            <w:r>
              <w:rPr>
                <w:sz w:val="14"/>
              </w:rPr>
              <w:t>Planning feasibility varies by street; heritage controls and neighbourhood impacts may restrict conversion or new construction.</w:t>
            </w:r>
          </w:p>
        </w:tc>
      </w:tr>
      <w:tr w:rsidR="00DD57B9" w14:paraId="1F17AF75" w14:textId="77777777">
        <w:trPr>
          <w:jc w:val="center"/>
        </w:trPr>
        <w:tc>
          <w:tcPr>
            <w:tcW w:w="2556" w:type="dxa"/>
            <w:shd w:val="clear" w:color="auto" w:fill="D9EAF7"/>
            <w:tcMar>
              <w:top w:w="35" w:type="dxa"/>
              <w:left w:w="45" w:type="dxa"/>
              <w:bottom w:w="35" w:type="dxa"/>
              <w:right w:w="45" w:type="dxa"/>
            </w:tcMar>
            <w:vAlign w:val="center"/>
          </w:tcPr>
          <w:p w14:paraId="140E031F" w14:textId="77777777" w:rsidR="00DD57B9" w:rsidRDefault="00000000">
            <w:pPr>
              <w:spacing w:line="216" w:lineRule="auto"/>
            </w:pPr>
            <w:r>
              <w:rPr>
                <w:b/>
                <w:sz w:val="14"/>
              </w:rPr>
              <w:t>Suitable sites or buildings</w:t>
            </w:r>
          </w:p>
        </w:tc>
        <w:tc>
          <w:tcPr>
            <w:tcW w:w="2556" w:type="dxa"/>
            <w:tcMar>
              <w:top w:w="35" w:type="dxa"/>
              <w:left w:w="45" w:type="dxa"/>
              <w:bottom w:w="35" w:type="dxa"/>
              <w:right w:w="45" w:type="dxa"/>
            </w:tcMar>
            <w:vAlign w:val="center"/>
          </w:tcPr>
          <w:p w14:paraId="789A6EAF" w14:textId="77777777" w:rsidR="00DD57B9" w:rsidRDefault="00000000">
            <w:pPr>
              <w:spacing w:line="216" w:lineRule="auto"/>
            </w:pPr>
            <w:r>
              <w:rPr>
                <w:sz w:val="14"/>
              </w:rPr>
              <w:t>Limited and expensive appropriately sized sites; conversion opportunities may be competitive.</w:t>
            </w:r>
          </w:p>
        </w:tc>
        <w:tc>
          <w:tcPr>
            <w:tcW w:w="2556" w:type="dxa"/>
            <w:tcMar>
              <w:top w:w="35" w:type="dxa"/>
              <w:left w:w="45" w:type="dxa"/>
              <w:bottom w:w="35" w:type="dxa"/>
              <w:right w:w="45" w:type="dxa"/>
            </w:tcMar>
            <w:vAlign w:val="center"/>
          </w:tcPr>
          <w:p w14:paraId="57953924" w14:textId="77777777" w:rsidR="00DD57B9" w:rsidRDefault="00000000">
            <w:pPr>
              <w:spacing w:line="216" w:lineRule="auto"/>
            </w:pPr>
            <w:r>
              <w:rPr>
                <w:sz w:val="14"/>
              </w:rPr>
              <w:t>Newer buildings and larger development parcels may provide stronger loading, back-of-house and hotel-conversion potential.</w:t>
            </w:r>
          </w:p>
        </w:tc>
        <w:tc>
          <w:tcPr>
            <w:tcW w:w="2556" w:type="dxa"/>
            <w:tcMar>
              <w:top w:w="35" w:type="dxa"/>
              <w:left w:w="45" w:type="dxa"/>
              <w:bottom w:w="35" w:type="dxa"/>
              <w:right w:w="45" w:type="dxa"/>
            </w:tcMar>
            <w:vAlign w:val="center"/>
          </w:tcPr>
          <w:p w14:paraId="12BE06CD" w14:textId="77777777" w:rsidR="00DD57B9" w:rsidRDefault="00000000">
            <w:pPr>
              <w:spacing w:line="216" w:lineRule="auto"/>
            </w:pPr>
            <w:r>
              <w:rPr>
                <w:sz w:val="14"/>
              </w:rPr>
              <w:t>Potential boutique or adaptive-reuse opportunities, but fewer buildings may suit a 100–150-room hotel.</w:t>
            </w:r>
          </w:p>
        </w:tc>
      </w:tr>
      <w:tr w:rsidR="00DD57B9" w14:paraId="7C12F11D" w14:textId="77777777">
        <w:trPr>
          <w:jc w:val="center"/>
        </w:trPr>
        <w:tc>
          <w:tcPr>
            <w:tcW w:w="2556" w:type="dxa"/>
            <w:shd w:val="clear" w:color="auto" w:fill="D9EAF7"/>
            <w:tcMar>
              <w:top w:w="35" w:type="dxa"/>
              <w:left w:w="45" w:type="dxa"/>
              <w:bottom w:w="35" w:type="dxa"/>
              <w:right w:w="45" w:type="dxa"/>
            </w:tcMar>
            <w:vAlign w:val="center"/>
          </w:tcPr>
          <w:p w14:paraId="6AB2CBD5" w14:textId="77777777" w:rsidR="00DD57B9" w:rsidRDefault="00000000">
            <w:pPr>
              <w:spacing w:line="216" w:lineRule="auto"/>
            </w:pPr>
            <w:r>
              <w:rPr>
                <w:b/>
                <w:sz w:val="14"/>
              </w:rPr>
              <w:t>Supply chain and warehouse access</w:t>
            </w:r>
          </w:p>
        </w:tc>
        <w:tc>
          <w:tcPr>
            <w:tcW w:w="2556" w:type="dxa"/>
            <w:tcMar>
              <w:top w:w="35" w:type="dxa"/>
              <w:left w:w="45" w:type="dxa"/>
              <w:bottom w:w="35" w:type="dxa"/>
              <w:right w:w="45" w:type="dxa"/>
            </w:tcMar>
            <w:vAlign w:val="center"/>
          </w:tcPr>
          <w:p w14:paraId="68428A49" w14:textId="77777777" w:rsidR="00DD57B9" w:rsidRDefault="00000000">
            <w:pPr>
              <w:spacing w:line="216" w:lineRule="auto"/>
            </w:pPr>
            <w:r>
              <w:rPr>
                <w:sz w:val="14"/>
              </w:rPr>
              <w:t>Established supplier access, but CBD congestion, delivery-hour restrictions and limited loading space may increase cost.</w:t>
            </w:r>
          </w:p>
        </w:tc>
        <w:tc>
          <w:tcPr>
            <w:tcW w:w="2556" w:type="dxa"/>
            <w:tcMar>
              <w:top w:w="35" w:type="dxa"/>
              <w:left w:w="45" w:type="dxa"/>
              <w:bottom w:w="35" w:type="dxa"/>
              <w:right w:w="45" w:type="dxa"/>
            </w:tcMar>
            <w:vAlign w:val="center"/>
          </w:tcPr>
          <w:p w14:paraId="5BBFFF8A" w14:textId="77777777" w:rsidR="00DD57B9" w:rsidRDefault="00000000">
            <w:pPr>
              <w:spacing w:line="216" w:lineRule="auto"/>
            </w:pPr>
            <w:r>
              <w:rPr>
                <w:sz w:val="14"/>
              </w:rPr>
              <w:t>Strong road access and newer buildings may support loading docks, service lifts and regular deliveries.</w:t>
            </w:r>
          </w:p>
        </w:tc>
        <w:tc>
          <w:tcPr>
            <w:tcW w:w="2556" w:type="dxa"/>
            <w:tcMar>
              <w:top w:w="35" w:type="dxa"/>
              <w:left w:w="45" w:type="dxa"/>
              <w:bottom w:w="35" w:type="dxa"/>
              <w:right w:w="45" w:type="dxa"/>
            </w:tcMar>
            <w:vAlign w:val="center"/>
          </w:tcPr>
          <w:p w14:paraId="6FBB35FC" w14:textId="77777777" w:rsidR="00DD57B9" w:rsidRDefault="00000000">
            <w:pPr>
              <w:spacing w:line="216" w:lineRule="auto"/>
            </w:pPr>
            <w:r>
              <w:rPr>
                <w:sz w:val="14"/>
              </w:rPr>
              <w:t>Reasonable access to northern supply routes, but older buildings may have limited loading and storage capacity.</w:t>
            </w:r>
          </w:p>
        </w:tc>
      </w:tr>
      <w:tr w:rsidR="00DD57B9" w14:paraId="0C7F72BC" w14:textId="77777777">
        <w:trPr>
          <w:jc w:val="center"/>
        </w:trPr>
        <w:tc>
          <w:tcPr>
            <w:tcW w:w="2556" w:type="dxa"/>
            <w:shd w:val="clear" w:color="auto" w:fill="D9EAF7"/>
            <w:tcMar>
              <w:top w:w="35" w:type="dxa"/>
              <w:left w:w="45" w:type="dxa"/>
              <w:bottom w:w="35" w:type="dxa"/>
              <w:right w:w="45" w:type="dxa"/>
            </w:tcMar>
            <w:vAlign w:val="center"/>
          </w:tcPr>
          <w:p w14:paraId="7DB8ED60" w14:textId="77777777" w:rsidR="00DD57B9" w:rsidRDefault="00000000">
            <w:pPr>
              <w:spacing w:line="216" w:lineRule="auto"/>
            </w:pPr>
            <w:r>
              <w:rPr>
                <w:b/>
                <w:sz w:val="14"/>
              </w:rPr>
              <w:t>Workforce availability</w:t>
            </w:r>
          </w:p>
        </w:tc>
        <w:tc>
          <w:tcPr>
            <w:tcW w:w="2556" w:type="dxa"/>
            <w:tcMar>
              <w:top w:w="35" w:type="dxa"/>
              <w:left w:w="45" w:type="dxa"/>
              <w:bottom w:w="35" w:type="dxa"/>
              <w:right w:w="45" w:type="dxa"/>
            </w:tcMar>
            <w:vAlign w:val="center"/>
          </w:tcPr>
          <w:p w14:paraId="3A778837" w14:textId="77777777" w:rsidR="00DD57B9" w:rsidRDefault="00000000">
            <w:pPr>
              <w:spacing w:line="216" w:lineRule="auto"/>
            </w:pPr>
            <w:r>
              <w:rPr>
                <w:sz w:val="14"/>
              </w:rPr>
              <w:t>Largest labour pool and strongest public-transport access for staff.</w:t>
            </w:r>
          </w:p>
        </w:tc>
        <w:tc>
          <w:tcPr>
            <w:tcW w:w="2556" w:type="dxa"/>
            <w:tcMar>
              <w:top w:w="35" w:type="dxa"/>
              <w:left w:w="45" w:type="dxa"/>
              <w:bottom w:w="35" w:type="dxa"/>
              <w:right w:w="45" w:type="dxa"/>
            </w:tcMar>
            <w:vAlign w:val="center"/>
          </w:tcPr>
          <w:p w14:paraId="16B18810" w14:textId="77777777" w:rsidR="00DD57B9" w:rsidRDefault="00000000">
            <w:pPr>
              <w:spacing w:line="216" w:lineRule="auto"/>
            </w:pPr>
            <w:r>
              <w:rPr>
                <w:sz w:val="14"/>
              </w:rPr>
              <w:t>Good access for staff through Southern Cross and tram connections.</w:t>
            </w:r>
          </w:p>
        </w:tc>
        <w:tc>
          <w:tcPr>
            <w:tcW w:w="2556" w:type="dxa"/>
            <w:tcMar>
              <w:top w:w="35" w:type="dxa"/>
              <w:left w:w="45" w:type="dxa"/>
              <w:bottom w:w="35" w:type="dxa"/>
              <w:right w:w="45" w:type="dxa"/>
            </w:tcMar>
            <w:vAlign w:val="center"/>
          </w:tcPr>
          <w:p w14:paraId="33BD9EBC" w14:textId="77777777" w:rsidR="00DD57B9" w:rsidRDefault="00000000">
            <w:pPr>
              <w:spacing w:line="216" w:lineRule="auto"/>
            </w:pPr>
            <w:r>
              <w:rPr>
                <w:sz w:val="14"/>
              </w:rPr>
              <w:t>Strong access to student and hospitality labour, with good tram links to the CBD.</w:t>
            </w:r>
          </w:p>
        </w:tc>
      </w:tr>
    </w:tbl>
    <w:p w14:paraId="10614102" w14:textId="77777777" w:rsidR="00DD57B9" w:rsidRDefault="00DD57B9">
      <w:pPr>
        <w:spacing w:after="80" w:line="252" w:lineRule="auto"/>
      </w:pPr>
    </w:p>
    <w:p w14:paraId="7E07B1BB" w14:textId="77777777" w:rsidR="00DD57B9" w:rsidRDefault="00000000">
      <w:pPr>
        <w:spacing w:after="80" w:line="252" w:lineRule="auto"/>
      </w:pPr>
      <w:r>
        <w:br w:type="page"/>
      </w:r>
    </w:p>
    <w:p w14:paraId="083A4222" w14:textId="77777777" w:rsidR="00DD57B9" w:rsidRDefault="00000000">
      <w:pPr>
        <w:pStyle w:val="Heading1"/>
        <w:spacing w:before="140" w:after="80"/>
      </w:pPr>
      <w:r>
        <w:lastRenderedPageBreak/>
        <w:t>6. Representative Competitor Analysis</w:t>
      </w:r>
    </w:p>
    <w:p w14:paraId="3E07B4BE" w14:textId="77777777" w:rsidR="00DD57B9" w:rsidRDefault="00000000">
      <w:pPr>
        <w:spacing w:after="80" w:line="252" w:lineRule="auto"/>
      </w:pPr>
      <w:r>
        <w:t>The table uses representative competitors to show the scale and positioning already present in each revised candidate area. Public rates and ratings are indicative only and are not the same as ADR.</w:t>
      </w:r>
    </w:p>
    <w:tbl>
      <w:tblPr>
        <w:tblStyle w:val="TableGrid"/>
        <w:tblW w:w="0" w:type="auto"/>
        <w:jc w:val="center"/>
        <w:tblLook w:val="04A0" w:firstRow="1" w:lastRow="0" w:firstColumn="1" w:lastColumn="0" w:noHBand="0" w:noVBand="1"/>
      </w:tblPr>
      <w:tblGrid>
        <w:gridCol w:w="1260"/>
        <w:gridCol w:w="1805"/>
        <w:gridCol w:w="771"/>
        <w:gridCol w:w="1331"/>
        <w:gridCol w:w="1404"/>
        <w:gridCol w:w="1689"/>
        <w:gridCol w:w="2324"/>
      </w:tblGrid>
      <w:tr w:rsidR="00DD57B9" w14:paraId="4342DD25" w14:textId="77777777">
        <w:trPr>
          <w:cantSplit/>
          <w:tblHeader/>
          <w:jc w:val="center"/>
        </w:trPr>
        <w:tc>
          <w:tcPr>
            <w:tcW w:w="1440" w:type="dxa"/>
            <w:shd w:val="clear" w:color="auto" w:fill="1F4E79"/>
            <w:vAlign w:val="center"/>
          </w:tcPr>
          <w:p w14:paraId="48ADC52C" w14:textId="77777777" w:rsidR="00DD57B9" w:rsidRDefault="00000000">
            <w:r>
              <w:rPr>
                <w:b/>
                <w:color w:val="FFFFFF"/>
                <w:sz w:val="16"/>
              </w:rPr>
              <w:t>Precinct</w:t>
            </w:r>
          </w:p>
        </w:tc>
        <w:tc>
          <w:tcPr>
            <w:tcW w:w="2232" w:type="dxa"/>
            <w:shd w:val="clear" w:color="auto" w:fill="1F4E79"/>
            <w:vAlign w:val="center"/>
          </w:tcPr>
          <w:p w14:paraId="4D721541" w14:textId="77777777" w:rsidR="00DD57B9" w:rsidRDefault="00000000">
            <w:r>
              <w:rPr>
                <w:b/>
                <w:color w:val="FFFFFF"/>
                <w:sz w:val="16"/>
              </w:rPr>
              <w:t>Hotel</w:t>
            </w:r>
          </w:p>
        </w:tc>
        <w:tc>
          <w:tcPr>
            <w:tcW w:w="792" w:type="dxa"/>
            <w:shd w:val="clear" w:color="auto" w:fill="1F4E79"/>
            <w:vAlign w:val="center"/>
          </w:tcPr>
          <w:p w14:paraId="2CA64A83" w14:textId="77777777" w:rsidR="00DD57B9" w:rsidRDefault="00000000">
            <w:r>
              <w:rPr>
                <w:b/>
                <w:color w:val="FFFFFF"/>
                <w:sz w:val="16"/>
              </w:rPr>
              <w:t>Rooms</w:t>
            </w:r>
          </w:p>
        </w:tc>
        <w:tc>
          <w:tcPr>
            <w:tcW w:w="1512" w:type="dxa"/>
            <w:shd w:val="clear" w:color="auto" w:fill="1F4E79"/>
            <w:vAlign w:val="center"/>
          </w:tcPr>
          <w:p w14:paraId="02854CA6" w14:textId="77777777" w:rsidR="00DD57B9" w:rsidRDefault="00000000">
            <w:r>
              <w:rPr>
                <w:b/>
                <w:color w:val="FFFFFF"/>
                <w:sz w:val="16"/>
              </w:rPr>
              <w:t>Indicative rate*</w:t>
            </w:r>
          </w:p>
        </w:tc>
        <w:tc>
          <w:tcPr>
            <w:tcW w:w="1584" w:type="dxa"/>
            <w:shd w:val="clear" w:color="auto" w:fill="1F4E79"/>
            <w:vAlign w:val="center"/>
          </w:tcPr>
          <w:p w14:paraId="4EDA339A" w14:textId="77777777" w:rsidR="00DD57B9" w:rsidRDefault="00000000">
            <w:r>
              <w:rPr>
                <w:b/>
                <w:color w:val="FFFFFF"/>
                <w:sz w:val="16"/>
              </w:rPr>
              <w:t>Public rating*</w:t>
            </w:r>
          </w:p>
        </w:tc>
        <w:tc>
          <w:tcPr>
            <w:tcW w:w="1944" w:type="dxa"/>
            <w:shd w:val="clear" w:color="auto" w:fill="1F4E79"/>
            <w:vAlign w:val="center"/>
          </w:tcPr>
          <w:p w14:paraId="23FA76BD" w14:textId="77777777" w:rsidR="00DD57B9" w:rsidRDefault="00000000">
            <w:r>
              <w:rPr>
                <w:b/>
                <w:color w:val="FFFFFF"/>
                <w:sz w:val="16"/>
              </w:rPr>
              <w:t>Positioning</w:t>
            </w:r>
          </w:p>
        </w:tc>
        <w:tc>
          <w:tcPr>
            <w:tcW w:w="2880" w:type="dxa"/>
            <w:shd w:val="clear" w:color="auto" w:fill="1F4E79"/>
            <w:vAlign w:val="center"/>
          </w:tcPr>
          <w:p w14:paraId="5AA9E855" w14:textId="77777777" w:rsidR="00DD57B9" w:rsidRDefault="00000000">
            <w:r>
              <w:rPr>
                <w:b/>
                <w:color w:val="FFFFFF"/>
                <w:sz w:val="16"/>
              </w:rPr>
              <w:t>Competitive implication</w:t>
            </w:r>
          </w:p>
        </w:tc>
      </w:tr>
      <w:tr w:rsidR="00DD57B9" w14:paraId="5D5D3C63" w14:textId="77777777">
        <w:trPr>
          <w:cantSplit/>
          <w:jc w:val="center"/>
        </w:trPr>
        <w:tc>
          <w:tcPr>
            <w:tcW w:w="1440" w:type="dxa"/>
            <w:shd w:val="clear" w:color="auto" w:fill="D9EAF7"/>
            <w:vAlign w:val="center"/>
          </w:tcPr>
          <w:p w14:paraId="772AAD3A" w14:textId="77777777" w:rsidR="00DD57B9" w:rsidRDefault="00000000">
            <w:r>
              <w:rPr>
                <w:sz w:val="14"/>
              </w:rPr>
              <w:t>Melbourne CBD</w:t>
            </w:r>
          </w:p>
        </w:tc>
        <w:tc>
          <w:tcPr>
            <w:tcW w:w="2232" w:type="dxa"/>
            <w:vAlign w:val="center"/>
          </w:tcPr>
          <w:p w14:paraId="3B4493A4" w14:textId="77777777" w:rsidR="00DD57B9" w:rsidRDefault="00000000">
            <w:r>
              <w:rPr>
                <w:sz w:val="14"/>
              </w:rPr>
              <w:t>Hilton Melbourne Little Queen Street</w:t>
            </w:r>
          </w:p>
        </w:tc>
        <w:tc>
          <w:tcPr>
            <w:tcW w:w="792" w:type="dxa"/>
            <w:vAlign w:val="center"/>
          </w:tcPr>
          <w:p w14:paraId="50E0C0EF" w14:textId="77777777" w:rsidR="00DD57B9" w:rsidRDefault="00000000">
            <w:r>
              <w:rPr>
                <w:sz w:val="14"/>
              </w:rPr>
              <w:t>244</w:t>
            </w:r>
          </w:p>
        </w:tc>
        <w:tc>
          <w:tcPr>
            <w:tcW w:w="1512" w:type="dxa"/>
            <w:vAlign w:val="center"/>
          </w:tcPr>
          <w:p w14:paraId="5956802B" w14:textId="77777777" w:rsidR="00DD57B9" w:rsidRDefault="00000000">
            <w:r>
              <w:rPr>
                <w:sz w:val="14"/>
              </w:rPr>
              <w:t>From AU$212</w:t>
            </w:r>
          </w:p>
        </w:tc>
        <w:tc>
          <w:tcPr>
            <w:tcW w:w="1584" w:type="dxa"/>
            <w:vAlign w:val="center"/>
          </w:tcPr>
          <w:p w14:paraId="667FC850" w14:textId="77777777" w:rsidR="00DD57B9" w:rsidRDefault="00000000">
            <w:r>
              <w:rPr>
                <w:sz w:val="14"/>
              </w:rPr>
              <w:t>9.1/10 Booking.com</w:t>
            </w:r>
          </w:p>
        </w:tc>
        <w:tc>
          <w:tcPr>
            <w:tcW w:w="1944" w:type="dxa"/>
            <w:vAlign w:val="center"/>
          </w:tcPr>
          <w:p w14:paraId="4F3484F8" w14:textId="77777777" w:rsidR="00DD57B9" w:rsidRDefault="00000000">
            <w:r>
              <w:rPr>
                <w:sz w:val="14"/>
              </w:rPr>
              <w:t>Upscale heritage business</w:t>
            </w:r>
          </w:p>
        </w:tc>
        <w:tc>
          <w:tcPr>
            <w:tcW w:w="2880" w:type="dxa"/>
            <w:vAlign w:val="center"/>
          </w:tcPr>
          <w:p w14:paraId="2CDE0B1E" w14:textId="77777777" w:rsidR="00DD57B9" w:rsidRDefault="00000000">
            <w:r>
              <w:rPr>
                <w:sz w:val="14"/>
              </w:rPr>
              <w:t>Strong corporate brand and central location.</w:t>
            </w:r>
          </w:p>
        </w:tc>
      </w:tr>
      <w:tr w:rsidR="00DD57B9" w14:paraId="191B15C0" w14:textId="77777777">
        <w:trPr>
          <w:cantSplit/>
          <w:jc w:val="center"/>
        </w:trPr>
        <w:tc>
          <w:tcPr>
            <w:tcW w:w="1440" w:type="dxa"/>
            <w:shd w:val="clear" w:color="auto" w:fill="D9EAF7"/>
            <w:vAlign w:val="center"/>
          </w:tcPr>
          <w:p w14:paraId="5CE28E89" w14:textId="77777777" w:rsidR="00DD57B9" w:rsidRDefault="00000000">
            <w:r>
              <w:rPr>
                <w:sz w:val="14"/>
              </w:rPr>
              <w:t>Melbourne CBD</w:t>
            </w:r>
          </w:p>
        </w:tc>
        <w:tc>
          <w:tcPr>
            <w:tcW w:w="2232" w:type="dxa"/>
            <w:shd w:val="clear" w:color="auto" w:fill="F8FAFC"/>
            <w:vAlign w:val="center"/>
          </w:tcPr>
          <w:p w14:paraId="7A82FF2C" w14:textId="77777777" w:rsidR="00DD57B9" w:rsidRDefault="00000000">
            <w:r>
              <w:rPr>
                <w:sz w:val="14"/>
              </w:rPr>
              <w:t>W Melbourne</w:t>
            </w:r>
          </w:p>
        </w:tc>
        <w:tc>
          <w:tcPr>
            <w:tcW w:w="792" w:type="dxa"/>
            <w:shd w:val="clear" w:color="auto" w:fill="F8FAFC"/>
            <w:vAlign w:val="center"/>
          </w:tcPr>
          <w:p w14:paraId="0E844049" w14:textId="77777777" w:rsidR="00DD57B9" w:rsidRDefault="00000000">
            <w:r>
              <w:rPr>
                <w:sz w:val="14"/>
              </w:rPr>
              <w:t>294</w:t>
            </w:r>
          </w:p>
        </w:tc>
        <w:tc>
          <w:tcPr>
            <w:tcW w:w="1512" w:type="dxa"/>
            <w:shd w:val="clear" w:color="auto" w:fill="F8FAFC"/>
            <w:vAlign w:val="center"/>
          </w:tcPr>
          <w:p w14:paraId="02A2E965" w14:textId="77777777" w:rsidR="00DD57B9" w:rsidRDefault="00000000">
            <w:r>
              <w:rPr>
                <w:sz w:val="14"/>
              </w:rPr>
              <w:t>From AU$369</w:t>
            </w:r>
          </w:p>
        </w:tc>
        <w:tc>
          <w:tcPr>
            <w:tcW w:w="1584" w:type="dxa"/>
            <w:shd w:val="clear" w:color="auto" w:fill="F8FAFC"/>
            <w:vAlign w:val="center"/>
          </w:tcPr>
          <w:p w14:paraId="3EE075FF" w14:textId="77777777" w:rsidR="00DD57B9" w:rsidRDefault="00000000">
            <w:r>
              <w:rPr>
                <w:sz w:val="14"/>
              </w:rPr>
              <w:t>9.2/10 Expedia</w:t>
            </w:r>
          </w:p>
        </w:tc>
        <w:tc>
          <w:tcPr>
            <w:tcW w:w="1944" w:type="dxa"/>
            <w:shd w:val="clear" w:color="auto" w:fill="F8FAFC"/>
            <w:vAlign w:val="center"/>
          </w:tcPr>
          <w:p w14:paraId="441B9B38" w14:textId="77777777" w:rsidR="00DD57B9" w:rsidRDefault="00000000">
            <w:r>
              <w:rPr>
                <w:sz w:val="14"/>
              </w:rPr>
              <w:t>Luxury lifestyle</w:t>
            </w:r>
          </w:p>
        </w:tc>
        <w:tc>
          <w:tcPr>
            <w:tcW w:w="2880" w:type="dxa"/>
            <w:shd w:val="clear" w:color="auto" w:fill="F8FAFC"/>
            <w:vAlign w:val="center"/>
          </w:tcPr>
          <w:p w14:paraId="721E8D2E" w14:textId="77777777" w:rsidR="00DD57B9" w:rsidRDefault="00000000">
            <w:r>
              <w:rPr>
                <w:sz w:val="14"/>
              </w:rPr>
              <w:t>Strong design, premium leisure and events appeal.</w:t>
            </w:r>
          </w:p>
        </w:tc>
      </w:tr>
      <w:tr w:rsidR="00DD57B9" w14:paraId="7DAC9247" w14:textId="77777777">
        <w:trPr>
          <w:cantSplit/>
          <w:jc w:val="center"/>
        </w:trPr>
        <w:tc>
          <w:tcPr>
            <w:tcW w:w="1440" w:type="dxa"/>
            <w:shd w:val="clear" w:color="auto" w:fill="D9EAF7"/>
            <w:vAlign w:val="center"/>
          </w:tcPr>
          <w:p w14:paraId="3F1E19ED" w14:textId="77777777" w:rsidR="00DD57B9" w:rsidRDefault="00000000">
            <w:r>
              <w:rPr>
                <w:sz w:val="14"/>
              </w:rPr>
              <w:t>Docklands</w:t>
            </w:r>
          </w:p>
        </w:tc>
        <w:tc>
          <w:tcPr>
            <w:tcW w:w="2232" w:type="dxa"/>
            <w:vAlign w:val="center"/>
          </w:tcPr>
          <w:p w14:paraId="00D57543" w14:textId="77777777" w:rsidR="00DD57B9" w:rsidRDefault="00000000">
            <w:r>
              <w:rPr>
                <w:sz w:val="14"/>
              </w:rPr>
              <w:t>Vibe Hotel Melbourne Docklands</w:t>
            </w:r>
          </w:p>
        </w:tc>
        <w:tc>
          <w:tcPr>
            <w:tcW w:w="792" w:type="dxa"/>
            <w:vAlign w:val="center"/>
          </w:tcPr>
          <w:p w14:paraId="18004EDA" w14:textId="77777777" w:rsidR="00DD57B9" w:rsidRDefault="00000000">
            <w:r>
              <w:rPr>
                <w:sz w:val="14"/>
              </w:rPr>
              <w:t>273</w:t>
            </w:r>
          </w:p>
        </w:tc>
        <w:tc>
          <w:tcPr>
            <w:tcW w:w="1512" w:type="dxa"/>
            <w:vAlign w:val="center"/>
          </w:tcPr>
          <w:p w14:paraId="5EDDCDEC" w14:textId="77777777" w:rsidR="00DD57B9" w:rsidRDefault="00000000">
            <w:r>
              <w:rPr>
                <w:sz w:val="14"/>
              </w:rPr>
              <w:t>Indicative public rate</w:t>
            </w:r>
          </w:p>
        </w:tc>
        <w:tc>
          <w:tcPr>
            <w:tcW w:w="1584" w:type="dxa"/>
            <w:vAlign w:val="center"/>
          </w:tcPr>
          <w:p w14:paraId="7E31BC12" w14:textId="77777777" w:rsidR="00DD57B9" w:rsidRDefault="00000000">
            <w:r>
              <w:rPr>
                <w:sz w:val="14"/>
              </w:rPr>
              <w:t>Platform rating varies</w:t>
            </w:r>
          </w:p>
        </w:tc>
        <w:tc>
          <w:tcPr>
            <w:tcW w:w="1944" w:type="dxa"/>
            <w:vAlign w:val="center"/>
          </w:tcPr>
          <w:p w14:paraId="55090542" w14:textId="77777777" w:rsidR="00DD57B9" w:rsidRDefault="00000000">
            <w:r>
              <w:rPr>
                <w:sz w:val="14"/>
              </w:rPr>
              <w:t>Upper-midscale lifestyle</w:t>
            </w:r>
          </w:p>
        </w:tc>
        <w:tc>
          <w:tcPr>
            <w:tcW w:w="2880" w:type="dxa"/>
            <w:vAlign w:val="center"/>
          </w:tcPr>
          <w:p w14:paraId="561BA598" w14:textId="77777777" w:rsidR="00DD57B9" w:rsidRDefault="00000000">
            <w:r>
              <w:rPr>
                <w:sz w:val="14"/>
              </w:rPr>
              <w:t>Waterfront and event-oriented competitor.</w:t>
            </w:r>
          </w:p>
        </w:tc>
      </w:tr>
      <w:tr w:rsidR="00DD57B9" w14:paraId="6F31B967" w14:textId="77777777">
        <w:trPr>
          <w:cantSplit/>
          <w:jc w:val="center"/>
        </w:trPr>
        <w:tc>
          <w:tcPr>
            <w:tcW w:w="1440" w:type="dxa"/>
            <w:shd w:val="clear" w:color="auto" w:fill="D9EAF7"/>
            <w:vAlign w:val="center"/>
          </w:tcPr>
          <w:p w14:paraId="6074BABB" w14:textId="77777777" w:rsidR="00DD57B9" w:rsidRDefault="00000000">
            <w:r>
              <w:rPr>
                <w:sz w:val="14"/>
              </w:rPr>
              <w:t>Docklands</w:t>
            </w:r>
          </w:p>
        </w:tc>
        <w:tc>
          <w:tcPr>
            <w:tcW w:w="2232" w:type="dxa"/>
            <w:shd w:val="clear" w:color="auto" w:fill="F8FAFC"/>
            <w:vAlign w:val="center"/>
          </w:tcPr>
          <w:p w14:paraId="792C8B65" w14:textId="77777777" w:rsidR="00DD57B9" w:rsidRDefault="00000000">
            <w:r>
              <w:rPr>
                <w:sz w:val="14"/>
              </w:rPr>
              <w:t>Travelodge Hotel Melbourne Docklands</w:t>
            </w:r>
          </w:p>
        </w:tc>
        <w:tc>
          <w:tcPr>
            <w:tcW w:w="792" w:type="dxa"/>
            <w:shd w:val="clear" w:color="auto" w:fill="F8FAFC"/>
            <w:vAlign w:val="center"/>
          </w:tcPr>
          <w:p w14:paraId="3CEC9E5F" w14:textId="77777777" w:rsidR="00DD57B9" w:rsidRDefault="00000000">
            <w:r>
              <w:rPr>
                <w:sz w:val="14"/>
              </w:rPr>
              <w:t>291</w:t>
            </w:r>
          </w:p>
        </w:tc>
        <w:tc>
          <w:tcPr>
            <w:tcW w:w="1512" w:type="dxa"/>
            <w:shd w:val="clear" w:color="auto" w:fill="F8FAFC"/>
            <w:vAlign w:val="center"/>
          </w:tcPr>
          <w:p w14:paraId="5C8485F1" w14:textId="77777777" w:rsidR="00DD57B9" w:rsidRDefault="00000000">
            <w:r>
              <w:rPr>
                <w:sz w:val="14"/>
              </w:rPr>
              <w:t>Indicative public rate</w:t>
            </w:r>
          </w:p>
        </w:tc>
        <w:tc>
          <w:tcPr>
            <w:tcW w:w="1584" w:type="dxa"/>
            <w:shd w:val="clear" w:color="auto" w:fill="F8FAFC"/>
            <w:vAlign w:val="center"/>
          </w:tcPr>
          <w:p w14:paraId="631349D0" w14:textId="77777777" w:rsidR="00DD57B9" w:rsidRDefault="00000000">
            <w:r>
              <w:rPr>
                <w:sz w:val="14"/>
              </w:rPr>
              <w:t>Platform rating varies</w:t>
            </w:r>
          </w:p>
        </w:tc>
        <w:tc>
          <w:tcPr>
            <w:tcW w:w="1944" w:type="dxa"/>
            <w:shd w:val="clear" w:color="auto" w:fill="F8FAFC"/>
            <w:vAlign w:val="center"/>
          </w:tcPr>
          <w:p w14:paraId="7603938A" w14:textId="77777777" w:rsidR="00DD57B9" w:rsidRDefault="00000000">
            <w:r>
              <w:rPr>
                <w:sz w:val="14"/>
              </w:rPr>
              <w:t>Midscale value/business</w:t>
            </w:r>
          </w:p>
        </w:tc>
        <w:tc>
          <w:tcPr>
            <w:tcW w:w="2880" w:type="dxa"/>
            <w:shd w:val="clear" w:color="auto" w:fill="F8FAFC"/>
            <w:vAlign w:val="center"/>
          </w:tcPr>
          <w:p w14:paraId="02401351" w14:textId="77777777" w:rsidR="00DD57B9" w:rsidRDefault="00000000">
            <w:r>
              <w:rPr>
                <w:sz w:val="14"/>
              </w:rPr>
              <w:t>Strong value and transport access near Southern Cross.</w:t>
            </w:r>
          </w:p>
        </w:tc>
      </w:tr>
      <w:tr w:rsidR="00DD57B9" w14:paraId="355ABE9C" w14:textId="77777777">
        <w:trPr>
          <w:cantSplit/>
          <w:jc w:val="center"/>
        </w:trPr>
        <w:tc>
          <w:tcPr>
            <w:tcW w:w="1440" w:type="dxa"/>
            <w:shd w:val="clear" w:color="auto" w:fill="D9EAF7"/>
            <w:vAlign w:val="center"/>
          </w:tcPr>
          <w:p w14:paraId="61A2A05A" w14:textId="77777777" w:rsidR="00DD57B9" w:rsidRDefault="00000000">
            <w:r>
              <w:rPr>
                <w:sz w:val="14"/>
              </w:rPr>
              <w:t>Carlton</w:t>
            </w:r>
          </w:p>
        </w:tc>
        <w:tc>
          <w:tcPr>
            <w:tcW w:w="2232" w:type="dxa"/>
            <w:vAlign w:val="center"/>
          </w:tcPr>
          <w:p w14:paraId="36EE77E2" w14:textId="77777777" w:rsidR="00DD57B9" w:rsidRDefault="00000000">
            <w:r>
              <w:rPr>
                <w:sz w:val="14"/>
              </w:rPr>
              <w:t>Zagame’s House</w:t>
            </w:r>
          </w:p>
        </w:tc>
        <w:tc>
          <w:tcPr>
            <w:tcW w:w="792" w:type="dxa"/>
            <w:vAlign w:val="center"/>
          </w:tcPr>
          <w:p w14:paraId="7579F51C" w14:textId="77777777" w:rsidR="00DD57B9" w:rsidRDefault="00000000">
            <w:r>
              <w:rPr>
                <w:sz w:val="14"/>
              </w:rPr>
              <w:t>97</w:t>
            </w:r>
          </w:p>
        </w:tc>
        <w:tc>
          <w:tcPr>
            <w:tcW w:w="1512" w:type="dxa"/>
            <w:vAlign w:val="center"/>
          </w:tcPr>
          <w:p w14:paraId="62BD3578" w14:textId="77777777" w:rsidR="00DD57B9" w:rsidRDefault="00000000">
            <w:r>
              <w:rPr>
                <w:sz w:val="14"/>
              </w:rPr>
              <w:t>From about AU$144</w:t>
            </w:r>
          </w:p>
        </w:tc>
        <w:tc>
          <w:tcPr>
            <w:tcW w:w="1584" w:type="dxa"/>
            <w:vAlign w:val="center"/>
          </w:tcPr>
          <w:p w14:paraId="0FB93801" w14:textId="77777777" w:rsidR="00DD57B9" w:rsidRDefault="00000000">
            <w:r>
              <w:rPr>
                <w:sz w:val="14"/>
              </w:rPr>
              <w:t>9.0/10 Booking.com</w:t>
            </w:r>
          </w:p>
        </w:tc>
        <w:tc>
          <w:tcPr>
            <w:tcW w:w="1944" w:type="dxa"/>
            <w:vAlign w:val="center"/>
          </w:tcPr>
          <w:p w14:paraId="4FA6380F" w14:textId="77777777" w:rsidR="00DD57B9" w:rsidRDefault="00000000">
            <w:r>
              <w:rPr>
                <w:sz w:val="14"/>
              </w:rPr>
              <w:t>Luxury boutique / lifestyle</w:t>
            </w:r>
          </w:p>
        </w:tc>
        <w:tc>
          <w:tcPr>
            <w:tcW w:w="2880" w:type="dxa"/>
            <w:vAlign w:val="center"/>
          </w:tcPr>
          <w:p w14:paraId="36C16C0B" w14:textId="77777777" w:rsidR="00DD57B9" w:rsidRDefault="00000000">
            <w:r>
              <w:rPr>
                <w:sz w:val="14"/>
              </w:rPr>
              <w:t>Highly rated design-led boutique competitor on Lygon Street.</w:t>
            </w:r>
          </w:p>
        </w:tc>
      </w:tr>
      <w:tr w:rsidR="00DD57B9" w14:paraId="5ED809B6" w14:textId="77777777">
        <w:trPr>
          <w:cantSplit/>
          <w:jc w:val="center"/>
        </w:trPr>
        <w:tc>
          <w:tcPr>
            <w:tcW w:w="1440" w:type="dxa"/>
            <w:shd w:val="clear" w:color="auto" w:fill="D9EAF7"/>
            <w:vAlign w:val="center"/>
          </w:tcPr>
          <w:p w14:paraId="754F2DA0" w14:textId="77777777" w:rsidR="00DD57B9" w:rsidRDefault="00000000">
            <w:r>
              <w:rPr>
                <w:sz w:val="14"/>
              </w:rPr>
              <w:t>Carlton</w:t>
            </w:r>
          </w:p>
        </w:tc>
        <w:tc>
          <w:tcPr>
            <w:tcW w:w="2232" w:type="dxa"/>
            <w:shd w:val="clear" w:color="auto" w:fill="F8FAFC"/>
            <w:vAlign w:val="center"/>
          </w:tcPr>
          <w:p w14:paraId="799653D9" w14:textId="77777777" w:rsidR="00DD57B9" w:rsidRDefault="00000000">
            <w:r>
              <w:rPr>
                <w:sz w:val="14"/>
              </w:rPr>
              <w:t>Crowne Plaza Melbourne Carlton</w:t>
            </w:r>
          </w:p>
        </w:tc>
        <w:tc>
          <w:tcPr>
            <w:tcW w:w="792" w:type="dxa"/>
            <w:shd w:val="clear" w:color="auto" w:fill="F8FAFC"/>
            <w:vAlign w:val="center"/>
          </w:tcPr>
          <w:p w14:paraId="171BAE6F" w14:textId="7A2E8E8A" w:rsidR="00DD57B9" w:rsidRPr="001750CF" w:rsidRDefault="001750CF">
            <w:pPr>
              <w:rPr>
                <w:rFonts w:eastAsia="宋体" w:hint="eastAsia"/>
                <w:lang w:eastAsia="zh-CN"/>
              </w:rPr>
            </w:pPr>
            <w:r>
              <w:rPr>
                <w:rFonts w:eastAsia="宋体" w:hint="eastAsia"/>
                <w:sz w:val="14"/>
                <w:lang w:eastAsia="zh-CN"/>
              </w:rPr>
              <w:t>107</w:t>
            </w:r>
          </w:p>
        </w:tc>
        <w:tc>
          <w:tcPr>
            <w:tcW w:w="1512" w:type="dxa"/>
            <w:shd w:val="clear" w:color="auto" w:fill="F8FAFC"/>
            <w:vAlign w:val="center"/>
          </w:tcPr>
          <w:p w14:paraId="1BFFA2E1" w14:textId="77777777" w:rsidR="00DD57B9" w:rsidRDefault="00000000">
            <w:r>
              <w:rPr>
                <w:sz w:val="14"/>
              </w:rPr>
              <w:t>From about AU$189</w:t>
            </w:r>
          </w:p>
        </w:tc>
        <w:tc>
          <w:tcPr>
            <w:tcW w:w="1584" w:type="dxa"/>
            <w:shd w:val="clear" w:color="auto" w:fill="F8FAFC"/>
            <w:vAlign w:val="center"/>
          </w:tcPr>
          <w:p w14:paraId="39186150" w14:textId="77777777" w:rsidR="00DD57B9" w:rsidRDefault="00000000">
            <w:r>
              <w:rPr>
                <w:sz w:val="14"/>
              </w:rPr>
              <w:t>New/recent review base</w:t>
            </w:r>
          </w:p>
        </w:tc>
        <w:tc>
          <w:tcPr>
            <w:tcW w:w="1944" w:type="dxa"/>
            <w:shd w:val="clear" w:color="auto" w:fill="F8FAFC"/>
            <w:vAlign w:val="center"/>
          </w:tcPr>
          <w:p w14:paraId="775A1027" w14:textId="77777777" w:rsidR="00DD57B9" w:rsidRDefault="00000000">
            <w:r>
              <w:rPr>
                <w:sz w:val="14"/>
              </w:rPr>
              <w:t>Upscale business and leisure</w:t>
            </w:r>
          </w:p>
        </w:tc>
        <w:tc>
          <w:tcPr>
            <w:tcW w:w="2880" w:type="dxa"/>
            <w:shd w:val="clear" w:color="auto" w:fill="F8FAFC"/>
            <w:vAlign w:val="center"/>
          </w:tcPr>
          <w:p w14:paraId="552A9D0E" w14:textId="77777777" w:rsidR="00DD57B9" w:rsidRDefault="00000000">
            <w:r>
              <w:rPr>
                <w:sz w:val="14"/>
              </w:rPr>
              <w:t>Major branded competitor near the university and CBD fringe.</w:t>
            </w:r>
          </w:p>
        </w:tc>
      </w:tr>
    </w:tbl>
    <w:p w14:paraId="20F96CFA" w14:textId="77777777" w:rsidR="00DD57B9" w:rsidRDefault="00DD57B9">
      <w:pPr>
        <w:spacing w:after="80" w:line="252" w:lineRule="auto"/>
      </w:pPr>
    </w:p>
    <w:tbl>
      <w:tblPr>
        <w:tblStyle w:val="TableGrid"/>
        <w:tblW w:w="0" w:type="auto"/>
        <w:jc w:val="center"/>
        <w:tblLook w:val="04A0" w:firstRow="1" w:lastRow="0" w:firstColumn="1" w:lastColumn="0" w:noHBand="0" w:noVBand="1"/>
      </w:tblPr>
      <w:tblGrid>
        <w:gridCol w:w="10224"/>
      </w:tblGrid>
      <w:tr w:rsidR="00DD57B9" w14:paraId="0C66F48B" w14:textId="77777777">
        <w:trPr>
          <w:cantSplit/>
          <w:jc w:val="center"/>
        </w:trPr>
        <w:tc>
          <w:tcPr>
            <w:tcW w:w="10224" w:type="dxa"/>
            <w:shd w:val="clear" w:color="auto" w:fill="F2F2F2"/>
            <w:vAlign w:val="center"/>
          </w:tcPr>
          <w:p w14:paraId="1BD66ED7" w14:textId="77777777" w:rsidR="00DD57B9" w:rsidRDefault="00000000">
            <w:pPr>
              <w:spacing w:after="40"/>
            </w:pPr>
            <w:r>
              <w:rPr>
                <w:sz w:val="18"/>
              </w:rPr>
              <w:t>* Rate and rating check: 19 July 2026. Rates are public online starting prices and may use different stay dates and conditions. They illustrate positioning only, are not directly comparable and must not be treated as ADR or a financial forecast.</w:t>
            </w:r>
          </w:p>
        </w:tc>
      </w:tr>
    </w:tbl>
    <w:p w14:paraId="64C02214" w14:textId="77777777" w:rsidR="00DD57B9" w:rsidRDefault="00DD57B9">
      <w:pPr>
        <w:spacing w:after="80" w:line="252" w:lineRule="auto"/>
      </w:pPr>
    </w:p>
    <w:p w14:paraId="39E85233" w14:textId="77777777" w:rsidR="00DD57B9" w:rsidRDefault="00000000">
      <w:pPr>
        <w:spacing w:after="80" w:line="252" w:lineRule="auto"/>
      </w:pPr>
      <w:r>
        <w:rPr>
          <w:b/>
        </w:rPr>
        <w:t xml:space="preserve">Competitor interpretation: </w:t>
      </w:r>
      <w:r>
        <w:t>CBD has the strongest external brand competition. Docklands contains established value and lifestyle hotels linked to events and transport. Carlton has fewer large hotels, but Zagame’s House and Crowne Plaza show that boutique and upscale demand is already recognised. A new Oakwood in Carlton would need to differentiate through serviced-residence features and medium-to-long-stay convenience.</w:t>
      </w:r>
    </w:p>
    <w:p w14:paraId="20A64ED0" w14:textId="77777777" w:rsidR="00DD57B9" w:rsidRDefault="00000000">
      <w:pPr>
        <w:pStyle w:val="Heading1"/>
        <w:spacing w:before="140" w:after="80"/>
      </w:pPr>
      <w:r>
        <w:t>7. Key Hotel Terms</w:t>
      </w:r>
    </w:p>
    <w:tbl>
      <w:tblPr>
        <w:tblStyle w:val="TableGrid"/>
        <w:tblW w:w="0" w:type="auto"/>
        <w:jc w:val="center"/>
        <w:tblLook w:val="04A0" w:firstRow="1" w:lastRow="0" w:firstColumn="1" w:lastColumn="0" w:noHBand="0" w:noVBand="1"/>
      </w:tblPr>
      <w:tblGrid>
        <w:gridCol w:w="2232"/>
        <w:gridCol w:w="5184"/>
        <w:gridCol w:w="3168"/>
      </w:tblGrid>
      <w:tr w:rsidR="00DD57B9" w14:paraId="73FB8F2C" w14:textId="77777777">
        <w:trPr>
          <w:cantSplit/>
          <w:tblHeader/>
          <w:jc w:val="center"/>
        </w:trPr>
        <w:tc>
          <w:tcPr>
            <w:tcW w:w="2232" w:type="dxa"/>
            <w:shd w:val="clear" w:color="auto" w:fill="1F4E79"/>
            <w:vAlign w:val="center"/>
          </w:tcPr>
          <w:p w14:paraId="272A44B3" w14:textId="77777777" w:rsidR="00DD57B9" w:rsidRDefault="00000000">
            <w:r>
              <w:rPr>
                <w:b/>
                <w:color w:val="FFFFFF"/>
                <w:sz w:val="16"/>
              </w:rPr>
              <w:t>Term</w:t>
            </w:r>
          </w:p>
        </w:tc>
        <w:tc>
          <w:tcPr>
            <w:tcW w:w="5184" w:type="dxa"/>
            <w:shd w:val="clear" w:color="auto" w:fill="1F4E79"/>
            <w:vAlign w:val="center"/>
          </w:tcPr>
          <w:p w14:paraId="1B9A5747" w14:textId="77777777" w:rsidR="00DD57B9" w:rsidRDefault="00000000">
            <w:r>
              <w:rPr>
                <w:b/>
                <w:color w:val="FFFFFF"/>
                <w:sz w:val="16"/>
              </w:rPr>
              <w:t>Meaning</w:t>
            </w:r>
          </w:p>
        </w:tc>
        <w:tc>
          <w:tcPr>
            <w:tcW w:w="3168" w:type="dxa"/>
            <w:shd w:val="clear" w:color="auto" w:fill="1F4E79"/>
            <w:vAlign w:val="center"/>
          </w:tcPr>
          <w:p w14:paraId="0B1306E1" w14:textId="77777777" w:rsidR="00DD57B9" w:rsidRDefault="00000000">
            <w:r>
              <w:rPr>
                <w:b/>
                <w:color w:val="FFFFFF"/>
                <w:sz w:val="16"/>
              </w:rPr>
              <w:t>Simple example</w:t>
            </w:r>
          </w:p>
        </w:tc>
      </w:tr>
      <w:tr w:rsidR="00DD57B9" w14:paraId="7D90CA27" w14:textId="77777777">
        <w:trPr>
          <w:cantSplit/>
          <w:jc w:val="center"/>
        </w:trPr>
        <w:tc>
          <w:tcPr>
            <w:tcW w:w="2232" w:type="dxa"/>
            <w:shd w:val="clear" w:color="auto" w:fill="D9EAF7"/>
            <w:vAlign w:val="center"/>
          </w:tcPr>
          <w:p w14:paraId="14B075FC" w14:textId="77777777" w:rsidR="00DD57B9" w:rsidRDefault="00000000">
            <w:r>
              <w:rPr>
                <w:sz w:val="16"/>
              </w:rPr>
              <w:t>Occupancy Rate</w:t>
            </w:r>
          </w:p>
        </w:tc>
        <w:tc>
          <w:tcPr>
            <w:tcW w:w="5184" w:type="dxa"/>
            <w:vAlign w:val="center"/>
          </w:tcPr>
          <w:p w14:paraId="50AB06B5" w14:textId="77777777" w:rsidR="00DD57B9" w:rsidRDefault="00000000">
            <w:r>
              <w:rPr>
                <w:sz w:val="16"/>
              </w:rPr>
              <w:t>Percentage of available rooms sold.</w:t>
            </w:r>
          </w:p>
        </w:tc>
        <w:tc>
          <w:tcPr>
            <w:tcW w:w="3168" w:type="dxa"/>
            <w:vAlign w:val="center"/>
          </w:tcPr>
          <w:p w14:paraId="4C2D3681" w14:textId="77777777" w:rsidR="00DD57B9" w:rsidRDefault="00000000">
            <w:r>
              <w:rPr>
                <w:sz w:val="16"/>
              </w:rPr>
              <w:t>80 rooms sold from 100 available rooms = 80% occupancy.</w:t>
            </w:r>
          </w:p>
        </w:tc>
      </w:tr>
      <w:tr w:rsidR="00DD57B9" w14:paraId="550B3F41" w14:textId="77777777">
        <w:trPr>
          <w:cantSplit/>
          <w:jc w:val="center"/>
        </w:trPr>
        <w:tc>
          <w:tcPr>
            <w:tcW w:w="2232" w:type="dxa"/>
            <w:shd w:val="clear" w:color="auto" w:fill="D9EAF7"/>
            <w:vAlign w:val="center"/>
          </w:tcPr>
          <w:p w14:paraId="36A82B76" w14:textId="77777777" w:rsidR="00DD57B9" w:rsidRDefault="00000000">
            <w:r>
              <w:rPr>
                <w:sz w:val="16"/>
              </w:rPr>
              <w:t>ADR (Average Daily Rate)</w:t>
            </w:r>
          </w:p>
        </w:tc>
        <w:tc>
          <w:tcPr>
            <w:tcW w:w="5184" w:type="dxa"/>
            <w:shd w:val="clear" w:color="auto" w:fill="F8FAFC"/>
            <w:vAlign w:val="center"/>
          </w:tcPr>
          <w:p w14:paraId="6C9819EB" w14:textId="77777777" w:rsidR="00DD57B9" w:rsidRDefault="00000000">
            <w:r>
              <w:rPr>
                <w:sz w:val="16"/>
              </w:rPr>
              <w:t>Average room revenue for each room sold. Formula: room revenue ÷ rooms sold.</w:t>
            </w:r>
          </w:p>
        </w:tc>
        <w:tc>
          <w:tcPr>
            <w:tcW w:w="3168" w:type="dxa"/>
            <w:shd w:val="clear" w:color="auto" w:fill="F8FAFC"/>
            <w:vAlign w:val="center"/>
          </w:tcPr>
          <w:p w14:paraId="22273439" w14:textId="77777777" w:rsidR="00DD57B9" w:rsidRDefault="00000000">
            <w:r>
              <w:rPr>
                <w:sz w:val="16"/>
              </w:rPr>
              <w:t>$16,000 revenue ÷ 80 sold rooms = $200 ADR.</w:t>
            </w:r>
          </w:p>
        </w:tc>
      </w:tr>
      <w:tr w:rsidR="00DD57B9" w14:paraId="5A528B3D" w14:textId="77777777">
        <w:trPr>
          <w:cantSplit/>
          <w:jc w:val="center"/>
        </w:trPr>
        <w:tc>
          <w:tcPr>
            <w:tcW w:w="2232" w:type="dxa"/>
            <w:shd w:val="clear" w:color="auto" w:fill="D9EAF7"/>
            <w:vAlign w:val="center"/>
          </w:tcPr>
          <w:p w14:paraId="2B868492" w14:textId="77777777" w:rsidR="00DD57B9" w:rsidRDefault="00000000">
            <w:r>
              <w:rPr>
                <w:sz w:val="16"/>
              </w:rPr>
              <w:t>RevPAR (Revenue per Available Room)</w:t>
            </w:r>
          </w:p>
        </w:tc>
        <w:tc>
          <w:tcPr>
            <w:tcW w:w="5184" w:type="dxa"/>
            <w:vAlign w:val="center"/>
          </w:tcPr>
          <w:p w14:paraId="6298945A" w14:textId="77777777" w:rsidR="00DD57B9" w:rsidRDefault="00000000">
            <w:r>
              <w:rPr>
                <w:sz w:val="16"/>
              </w:rPr>
              <w:t>Average room revenue across every available room. Formula: ADR × occupancy.</w:t>
            </w:r>
          </w:p>
        </w:tc>
        <w:tc>
          <w:tcPr>
            <w:tcW w:w="3168" w:type="dxa"/>
            <w:vAlign w:val="center"/>
          </w:tcPr>
          <w:p w14:paraId="12802D32" w14:textId="77777777" w:rsidR="00DD57B9" w:rsidRDefault="00000000">
            <w:r>
              <w:rPr>
                <w:sz w:val="16"/>
              </w:rPr>
              <w:t>$200 ADR × 80% occupancy = $160 RevPAR.</w:t>
            </w:r>
          </w:p>
        </w:tc>
      </w:tr>
    </w:tbl>
    <w:p w14:paraId="2BB48638" w14:textId="77777777" w:rsidR="00DD57B9" w:rsidRDefault="00DD57B9">
      <w:pPr>
        <w:spacing w:after="80" w:line="252" w:lineRule="auto"/>
      </w:pPr>
    </w:p>
    <w:p w14:paraId="478DCAC4" w14:textId="77777777" w:rsidR="00DD57B9" w:rsidRDefault="00000000">
      <w:pPr>
        <w:pStyle w:val="Heading1"/>
        <w:spacing w:before="140" w:after="80"/>
      </w:pPr>
      <w:r>
        <w:t>8. Revised Weighted Scoring Result</w:t>
      </w:r>
    </w:p>
    <w:p w14:paraId="25A8926D" w14:textId="77777777" w:rsidR="00DD57B9" w:rsidRDefault="00000000">
      <w:pPr>
        <w:spacing w:after="80" w:line="252" w:lineRule="auto"/>
      </w:pPr>
      <w:r>
        <w:t>The scoring model was expanded to match the suburb-selection brief. It now includes guest access with luggage, competitor supply and market performance, planning and zoning, site availability, workforce, and supply-chain access. Scores remain preliminary because property-specific and commercial market data must still be verified.</w:t>
      </w:r>
    </w:p>
    <w:tbl>
      <w:tblPr>
        <w:tblStyle w:val="TableGrid"/>
        <w:tblW w:w="0" w:type="auto"/>
        <w:jc w:val="center"/>
        <w:tblLook w:val="04A0" w:firstRow="1" w:lastRow="0" w:firstColumn="1" w:lastColumn="0" w:noHBand="0" w:noVBand="1"/>
      </w:tblPr>
      <w:tblGrid>
        <w:gridCol w:w="3357"/>
        <w:gridCol w:w="1802"/>
        <w:gridCol w:w="1770"/>
        <w:gridCol w:w="1847"/>
        <w:gridCol w:w="1808"/>
      </w:tblGrid>
      <w:tr w:rsidR="00DD57B9" w14:paraId="5DA7CA8E" w14:textId="77777777">
        <w:trPr>
          <w:cantSplit/>
          <w:tblHeader/>
          <w:jc w:val="center"/>
        </w:trPr>
        <w:tc>
          <w:tcPr>
            <w:tcW w:w="3816" w:type="dxa"/>
            <w:shd w:val="clear" w:color="auto" w:fill="1F4E78"/>
            <w:vAlign w:val="center"/>
          </w:tcPr>
          <w:p w14:paraId="4F06358A" w14:textId="77777777" w:rsidR="00DD57B9" w:rsidRDefault="00000000">
            <w:r>
              <w:rPr>
                <w:b/>
                <w:color w:val="FFFFFF"/>
                <w:sz w:val="15"/>
              </w:rPr>
              <w:t>Criteria</w:t>
            </w:r>
          </w:p>
        </w:tc>
        <w:tc>
          <w:tcPr>
            <w:tcW w:w="1008" w:type="dxa"/>
            <w:shd w:val="clear" w:color="auto" w:fill="1F4E78"/>
            <w:vAlign w:val="center"/>
          </w:tcPr>
          <w:p w14:paraId="3C40D616" w14:textId="77777777" w:rsidR="00DD57B9" w:rsidRDefault="00000000">
            <w:r>
              <w:rPr>
                <w:b/>
                <w:color w:val="FFFFFF"/>
                <w:sz w:val="15"/>
              </w:rPr>
              <w:t>Weight</w:t>
            </w:r>
          </w:p>
        </w:tc>
        <w:tc>
          <w:tcPr>
            <w:tcW w:w="1152" w:type="dxa"/>
            <w:shd w:val="clear" w:color="auto" w:fill="1F4E78"/>
            <w:vAlign w:val="center"/>
          </w:tcPr>
          <w:p w14:paraId="1E61D380" w14:textId="77777777" w:rsidR="00DD57B9" w:rsidRDefault="00000000">
            <w:r>
              <w:rPr>
                <w:b/>
                <w:color w:val="FFFFFF"/>
                <w:sz w:val="15"/>
              </w:rPr>
              <w:t>CBD</w:t>
            </w:r>
          </w:p>
        </w:tc>
        <w:tc>
          <w:tcPr>
            <w:tcW w:w="1224" w:type="dxa"/>
            <w:shd w:val="clear" w:color="auto" w:fill="1F4E78"/>
            <w:vAlign w:val="center"/>
          </w:tcPr>
          <w:p w14:paraId="29FB903F" w14:textId="77777777" w:rsidR="00DD57B9" w:rsidRDefault="00000000">
            <w:r>
              <w:rPr>
                <w:b/>
                <w:color w:val="FFFFFF"/>
                <w:sz w:val="15"/>
              </w:rPr>
              <w:t>Docklands</w:t>
            </w:r>
          </w:p>
        </w:tc>
        <w:tc>
          <w:tcPr>
            <w:tcW w:w="1224" w:type="dxa"/>
            <w:shd w:val="clear" w:color="auto" w:fill="1F4E78"/>
            <w:vAlign w:val="center"/>
          </w:tcPr>
          <w:p w14:paraId="32D983F3" w14:textId="77777777" w:rsidR="00DD57B9" w:rsidRDefault="00000000">
            <w:r>
              <w:rPr>
                <w:b/>
                <w:color w:val="FFFFFF"/>
                <w:sz w:val="15"/>
              </w:rPr>
              <w:t>Carlton</w:t>
            </w:r>
          </w:p>
        </w:tc>
      </w:tr>
      <w:tr w:rsidR="00DD57B9" w14:paraId="30F1ABC8" w14:textId="77777777">
        <w:trPr>
          <w:jc w:val="center"/>
        </w:trPr>
        <w:tc>
          <w:tcPr>
            <w:tcW w:w="2045" w:type="dxa"/>
            <w:shd w:val="clear" w:color="auto" w:fill="D9EAF7"/>
            <w:vAlign w:val="center"/>
          </w:tcPr>
          <w:p w14:paraId="09129C28" w14:textId="77777777" w:rsidR="00DD57B9" w:rsidRDefault="00000000">
            <w:r>
              <w:rPr>
                <w:b/>
                <w:sz w:val="15"/>
              </w:rPr>
              <w:t>Demand drivers</w:t>
            </w:r>
          </w:p>
        </w:tc>
        <w:tc>
          <w:tcPr>
            <w:tcW w:w="2045" w:type="dxa"/>
            <w:vAlign w:val="center"/>
          </w:tcPr>
          <w:p w14:paraId="29FD5398" w14:textId="77777777" w:rsidR="00DD57B9" w:rsidRDefault="00000000">
            <w:r>
              <w:rPr>
                <w:sz w:val="15"/>
              </w:rPr>
              <w:t>20%</w:t>
            </w:r>
          </w:p>
        </w:tc>
        <w:tc>
          <w:tcPr>
            <w:tcW w:w="2045" w:type="dxa"/>
            <w:vAlign w:val="center"/>
          </w:tcPr>
          <w:p w14:paraId="767CB65F" w14:textId="77777777" w:rsidR="00DD57B9" w:rsidRDefault="00000000">
            <w:r>
              <w:rPr>
                <w:sz w:val="15"/>
              </w:rPr>
              <w:t>5</w:t>
            </w:r>
          </w:p>
        </w:tc>
        <w:tc>
          <w:tcPr>
            <w:tcW w:w="2045" w:type="dxa"/>
            <w:vAlign w:val="center"/>
          </w:tcPr>
          <w:p w14:paraId="296D57A5" w14:textId="77777777" w:rsidR="00DD57B9" w:rsidRDefault="00000000">
            <w:r>
              <w:rPr>
                <w:sz w:val="15"/>
              </w:rPr>
              <w:t>3</w:t>
            </w:r>
          </w:p>
        </w:tc>
        <w:tc>
          <w:tcPr>
            <w:tcW w:w="2045" w:type="dxa"/>
            <w:vAlign w:val="center"/>
          </w:tcPr>
          <w:p w14:paraId="62C8159A" w14:textId="77777777" w:rsidR="00DD57B9" w:rsidRDefault="00000000">
            <w:r>
              <w:rPr>
                <w:sz w:val="15"/>
              </w:rPr>
              <w:t>4</w:t>
            </w:r>
          </w:p>
        </w:tc>
      </w:tr>
      <w:tr w:rsidR="00DD57B9" w14:paraId="2238C5A7" w14:textId="77777777">
        <w:trPr>
          <w:jc w:val="center"/>
        </w:trPr>
        <w:tc>
          <w:tcPr>
            <w:tcW w:w="2045" w:type="dxa"/>
            <w:shd w:val="clear" w:color="auto" w:fill="D9EAF7"/>
            <w:vAlign w:val="center"/>
          </w:tcPr>
          <w:p w14:paraId="4257F4A4" w14:textId="77777777" w:rsidR="00DD57B9" w:rsidRDefault="00000000">
            <w:r>
              <w:rPr>
                <w:b/>
                <w:sz w:val="15"/>
              </w:rPr>
              <w:t>Guest and airport accessibility</w:t>
            </w:r>
          </w:p>
        </w:tc>
        <w:tc>
          <w:tcPr>
            <w:tcW w:w="2045" w:type="dxa"/>
            <w:vAlign w:val="center"/>
          </w:tcPr>
          <w:p w14:paraId="43512161" w14:textId="77777777" w:rsidR="00DD57B9" w:rsidRDefault="00000000">
            <w:r>
              <w:rPr>
                <w:sz w:val="15"/>
              </w:rPr>
              <w:t>15%</w:t>
            </w:r>
          </w:p>
        </w:tc>
        <w:tc>
          <w:tcPr>
            <w:tcW w:w="2045" w:type="dxa"/>
            <w:vAlign w:val="center"/>
          </w:tcPr>
          <w:p w14:paraId="1A7A4C00" w14:textId="77777777" w:rsidR="00DD57B9" w:rsidRDefault="00000000">
            <w:r>
              <w:rPr>
                <w:sz w:val="15"/>
              </w:rPr>
              <w:t>5</w:t>
            </w:r>
          </w:p>
        </w:tc>
        <w:tc>
          <w:tcPr>
            <w:tcW w:w="2045" w:type="dxa"/>
            <w:vAlign w:val="center"/>
          </w:tcPr>
          <w:p w14:paraId="60C25398" w14:textId="77777777" w:rsidR="00DD57B9" w:rsidRDefault="00000000">
            <w:r>
              <w:rPr>
                <w:sz w:val="15"/>
              </w:rPr>
              <w:t>5</w:t>
            </w:r>
          </w:p>
        </w:tc>
        <w:tc>
          <w:tcPr>
            <w:tcW w:w="2045" w:type="dxa"/>
            <w:vAlign w:val="center"/>
          </w:tcPr>
          <w:p w14:paraId="1A0DE5E2" w14:textId="77777777" w:rsidR="00DD57B9" w:rsidRDefault="00000000">
            <w:r>
              <w:rPr>
                <w:sz w:val="15"/>
              </w:rPr>
              <w:t>4</w:t>
            </w:r>
          </w:p>
        </w:tc>
      </w:tr>
      <w:tr w:rsidR="00DD57B9" w14:paraId="6545AF83" w14:textId="77777777">
        <w:trPr>
          <w:jc w:val="center"/>
        </w:trPr>
        <w:tc>
          <w:tcPr>
            <w:tcW w:w="2045" w:type="dxa"/>
            <w:shd w:val="clear" w:color="auto" w:fill="D9EAF7"/>
            <w:vAlign w:val="center"/>
          </w:tcPr>
          <w:p w14:paraId="77035422" w14:textId="77777777" w:rsidR="00DD57B9" w:rsidRDefault="00000000">
            <w:r>
              <w:rPr>
                <w:b/>
                <w:sz w:val="15"/>
              </w:rPr>
              <w:t>Competitor supply and market performance</w:t>
            </w:r>
          </w:p>
        </w:tc>
        <w:tc>
          <w:tcPr>
            <w:tcW w:w="2045" w:type="dxa"/>
            <w:vAlign w:val="center"/>
          </w:tcPr>
          <w:p w14:paraId="55BF8C98" w14:textId="77777777" w:rsidR="00DD57B9" w:rsidRDefault="00000000">
            <w:r>
              <w:rPr>
                <w:sz w:val="15"/>
              </w:rPr>
              <w:t>15%</w:t>
            </w:r>
          </w:p>
        </w:tc>
        <w:tc>
          <w:tcPr>
            <w:tcW w:w="2045" w:type="dxa"/>
            <w:vAlign w:val="center"/>
          </w:tcPr>
          <w:p w14:paraId="308180F5" w14:textId="77777777" w:rsidR="00DD57B9" w:rsidRDefault="00000000">
            <w:r>
              <w:rPr>
                <w:sz w:val="15"/>
              </w:rPr>
              <w:t>2</w:t>
            </w:r>
          </w:p>
        </w:tc>
        <w:tc>
          <w:tcPr>
            <w:tcW w:w="2045" w:type="dxa"/>
            <w:vAlign w:val="center"/>
          </w:tcPr>
          <w:p w14:paraId="733CF365" w14:textId="77777777" w:rsidR="00DD57B9" w:rsidRDefault="00000000">
            <w:r>
              <w:rPr>
                <w:sz w:val="15"/>
              </w:rPr>
              <w:t>3</w:t>
            </w:r>
          </w:p>
        </w:tc>
        <w:tc>
          <w:tcPr>
            <w:tcW w:w="2045" w:type="dxa"/>
            <w:vAlign w:val="center"/>
          </w:tcPr>
          <w:p w14:paraId="045252F8" w14:textId="77777777" w:rsidR="00DD57B9" w:rsidRDefault="00000000">
            <w:r>
              <w:rPr>
                <w:sz w:val="15"/>
              </w:rPr>
              <w:t>4</w:t>
            </w:r>
          </w:p>
        </w:tc>
      </w:tr>
      <w:tr w:rsidR="00DD57B9" w14:paraId="053895E1" w14:textId="77777777">
        <w:trPr>
          <w:jc w:val="center"/>
        </w:trPr>
        <w:tc>
          <w:tcPr>
            <w:tcW w:w="2045" w:type="dxa"/>
            <w:shd w:val="clear" w:color="auto" w:fill="D9EAF7"/>
            <w:vAlign w:val="center"/>
          </w:tcPr>
          <w:p w14:paraId="3D6B1001" w14:textId="77777777" w:rsidR="00DD57B9" w:rsidRDefault="00000000">
            <w:r>
              <w:rPr>
                <w:b/>
                <w:sz w:val="15"/>
              </w:rPr>
              <w:t>Land, lease and acquisition cost</w:t>
            </w:r>
          </w:p>
        </w:tc>
        <w:tc>
          <w:tcPr>
            <w:tcW w:w="2045" w:type="dxa"/>
            <w:vAlign w:val="center"/>
          </w:tcPr>
          <w:p w14:paraId="4F51C0EB" w14:textId="77777777" w:rsidR="00DD57B9" w:rsidRDefault="00000000">
            <w:r>
              <w:rPr>
                <w:sz w:val="15"/>
              </w:rPr>
              <w:t>10%</w:t>
            </w:r>
          </w:p>
        </w:tc>
        <w:tc>
          <w:tcPr>
            <w:tcW w:w="2045" w:type="dxa"/>
            <w:vAlign w:val="center"/>
          </w:tcPr>
          <w:p w14:paraId="0E62C6F3" w14:textId="77777777" w:rsidR="00DD57B9" w:rsidRDefault="00000000">
            <w:r>
              <w:rPr>
                <w:sz w:val="15"/>
              </w:rPr>
              <w:t>2</w:t>
            </w:r>
          </w:p>
        </w:tc>
        <w:tc>
          <w:tcPr>
            <w:tcW w:w="2045" w:type="dxa"/>
            <w:vAlign w:val="center"/>
          </w:tcPr>
          <w:p w14:paraId="7E770801" w14:textId="77777777" w:rsidR="00DD57B9" w:rsidRDefault="00000000">
            <w:r>
              <w:rPr>
                <w:sz w:val="15"/>
              </w:rPr>
              <w:t>4</w:t>
            </w:r>
          </w:p>
        </w:tc>
        <w:tc>
          <w:tcPr>
            <w:tcW w:w="2045" w:type="dxa"/>
            <w:vAlign w:val="center"/>
          </w:tcPr>
          <w:p w14:paraId="377B0341" w14:textId="77777777" w:rsidR="00DD57B9" w:rsidRDefault="00000000">
            <w:r>
              <w:rPr>
                <w:sz w:val="15"/>
              </w:rPr>
              <w:t>3</w:t>
            </w:r>
          </w:p>
        </w:tc>
      </w:tr>
      <w:tr w:rsidR="00DD57B9" w14:paraId="1BC81EEA" w14:textId="77777777">
        <w:trPr>
          <w:jc w:val="center"/>
        </w:trPr>
        <w:tc>
          <w:tcPr>
            <w:tcW w:w="2045" w:type="dxa"/>
            <w:shd w:val="clear" w:color="auto" w:fill="D9EAF7"/>
            <w:vAlign w:val="center"/>
          </w:tcPr>
          <w:p w14:paraId="66DA943B" w14:textId="77777777" w:rsidR="00DD57B9" w:rsidRDefault="00000000">
            <w:r>
              <w:rPr>
                <w:b/>
                <w:sz w:val="15"/>
              </w:rPr>
              <w:t>Planning and zoning compatibility</w:t>
            </w:r>
          </w:p>
        </w:tc>
        <w:tc>
          <w:tcPr>
            <w:tcW w:w="2045" w:type="dxa"/>
            <w:vAlign w:val="center"/>
          </w:tcPr>
          <w:p w14:paraId="6A757DD0" w14:textId="77777777" w:rsidR="00DD57B9" w:rsidRDefault="00000000">
            <w:r>
              <w:rPr>
                <w:sz w:val="15"/>
              </w:rPr>
              <w:t>10%</w:t>
            </w:r>
          </w:p>
        </w:tc>
        <w:tc>
          <w:tcPr>
            <w:tcW w:w="2045" w:type="dxa"/>
            <w:vAlign w:val="center"/>
          </w:tcPr>
          <w:p w14:paraId="3868815C" w14:textId="77777777" w:rsidR="00DD57B9" w:rsidRDefault="00000000">
            <w:r>
              <w:rPr>
                <w:sz w:val="15"/>
              </w:rPr>
              <w:t>3</w:t>
            </w:r>
          </w:p>
        </w:tc>
        <w:tc>
          <w:tcPr>
            <w:tcW w:w="2045" w:type="dxa"/>
            <w:vAlign w:val="center"/>
          </w:tcPr>
          <w:p w14:paraId="1C37765F" w14:textId="77777777" w:rsidR="00DD57B9" w:rsidRDefault="00000000">
            <w:r>
              <w:rPr>
                <w:sz w:val="15"/>
              </w:rPr>
              <w:t>4</w:t>
            </w:r>
          </w:p>
        </w:tc>
        <w:tc>
          <w:tcPr>
            <w:tcW w:w="2045" w:type="dxa"/>
            <w:vAlign w:val="center"/>
          </w:tcPr>
          <w:p w14:paraId="16C4ED16" w14:textId="77777777" w:rsidR="00DD57B9" w:rsidRDefault="00000000">
            <w:r>
              <w:rPr>
                <w:sz w:val="15"/>
              </w:rPr>
              <w:t>3</w:t>
            </w:r>
          </w:p>
        </w:tc>
      </w:tr>
      <w:tr w:rsidR="00DD57B9" w14:paraId="258F7940" w14:textId="77777777">
        <w:trPr>
          <w:jc w:val="center"/>
        </w:trPr>
        <w:tc>
          <w:tcPr>
            <w:tcW w:w="2045" w:type="dxa"/>
            <w:shd w:val="clear" w:color="auto" w:fill="D9EAF7"/>
            <w:vAlign w:val="center"/>
          </w:tcPr>
          <w:p w14:paraId="6756BA24" w14:textId="77777777" w:rsidR="00DD57B9" w:rsidRDefault="00000000">
            <w:r>
              <w:rPr>
                <w:b/>
                <w:sz w:val="15"/>
              </w:rPr>
              <w:t>Suitable site or building availability</w:t>
            </w:r>
          </w:p>
        </w:tc>
        <w:tc>
          <w:tcPr>
            <w:tcW w:w="2045" w:type="dxa"/>
            <w:vAlign w:val="center"/>
          </w:tcPr>
          <w:p w14:paraId="052FEDB2" w14:textId="77777777" w:rsidR="00DD57B9" w:rsidRDefault="00000000">
            <w:r>
              <w:rPr>
                <w:sz w:val="15"/>
              </w:rPr>
              <w:t>10%</w:t>
            </w:r>
          </w:p>
        </w:tc>
        <w:tc>
          <w:tcPr>
            <w:tcW w:w="2045" w:type="dxa"/>
            <w:vAlign w:val="center"/>
          </w:tcPr>
          <w:p w14:paraId="1ABE6762" w14:textId="77777777" w:rsidR="00DD57B9" w:rsidRDefault="00000000">
            <w:r>
              <w:rPr>
                <w:sz w:val="15"/>
              </w:rPr>
              <w:t>2</w:t>
            </w:r>
          </w:p>
        </w:tc>
        <w:tc>
          <w:tcPr>
            <w:tcW w:w="2045" w:type="dxa"/>
            <w:vAlign w:val="center"/>
          </w:tcPr>
          <w:p w14:paraId="1590EA67" w14:textId="77777777" w:rsidR="00DD57B9" w:rsidRDefault="00000000">
            <w:r>
              <w:rPr>
                <w:sz w:val="15"/>
              </w:rPr>
              <w:t>4</w:t>
            </w:r>
          </w:p>
        </w:tc>
        <w:tc>
          <w:tcPr>
            <w:tcW w:w="2045" w:type="dxa"/>
            <w:vAlign w:val="center"/>
          </w:tcPr>
          <w:p w14:paraId="737D360D" w14:textId="77777777" w:rsidR="00DD57B9" w:rsidRDefault="00000000">
            <w:r>
              <w:rPr>
                <w:sz w:val="15"/>
              </w:rPr>
              <w:t>2</w:t>
            </w:r>
          </w:p>
        </w:tc>
      </w:tr>
      <w:tr w:rsidR="00DD57B9" w14:paraId="6CC93B60" w14:textId="77777777">
        <w:trPr>
          <w:jc w:val="center"/>
        </w:trPr>
        <w:tc>
          <w:tcPr>
            <w:tcW w:w="2045" w:type="dxa"/>
            <w:shd w:val="clear" w:color="auto" w:fill="D9EAF7"/>
            <w:vAlign w:val="center"/>
          </w:tcPr>
          <w:p w14:paraId="0C2B4EB7" w14:textId="77777777" w:rsidR="00DD57B9" w:rsidRDefault="00000000">
            <w:r>
              <w:rPr>
                <w:b/>
                <w:sz w:val="15"/>
              </w:rPr>
              <w:t>Supply chain and warehouse accessibility</w:t>
            </w:r>
          </w:p>
        </w:tc>
        <w:tc>
          <w:tcPr>
            <w:tcW w:w="2045" w:type="dxa"/>
            <w:vAlign w:val="center"/>
          </w:tcPr>
          <w:p w14:paraId="74777A60" w14:textId="77777777" w:rsidR="00DD57B9" w:rsidRDefault="00000000">
            <w:r>
              <w:rPr>
                <w:sz w:val="15"/>
              </w:rPr>
              <w:t>8%</w:t>
            </w:r>
          </w:p>
        </w:tc>
        <w:tc>
          <w:tcPr>
            <w:tcW w:w="2045" w:type="dxa"/>
            <w:vAlign w:val="center"/>
          </w:tcPr>
          <w:p w14:paraId="269EA20C" w14:textId="77777777" w:rsidR="00DD57B9" w:rsidRDefault="00000000">
            <w:r>
              <w:rPr>
                <w:sz w:val="15"/>
              </w:rPr>
              <w:t>2</w:t>
            </w:r>
          </w:p>
        </w:tc>
        <w:tc>
          <w:tcPr>
            <w:tcW w:w="2045" w:type="dxa"/>
            <w:vAlign w:val="center"/>
          </w:tcPr>
          <w:p w14:paraId="2EBB72DD" w14:textId="77777777" w:rsidR="00DD57B9" w:rsidRDefault="00000000">
            <w:r>
              <w:rPr>
                <w:sz w:val="15"/>
              </w:rPr>
              <w:t>5</w:t>
            </w:r>
          </w:p>
        </w:tc>
        <w:tc>
          <w:tcPr>
            <w:tcW w:w="2045" w:type="dxa"/>
            <w:vAlign w:val="center"/>
          </w:tcPr>
          <w:p w14:paraId="68324D38" w14:textId="77777777" w:rsidR="00DD57B9" w:rsidRDefault="00000000">
            <w:r>
              <w:rPr>
                <w:sz w:val="15"/>
              </w:rPr>
              <w:t>3</w:t>
            </w:r>
          </w:p>
        </w:tc>
      </w:tr>
      <w:tr w:rsidR="00DD57B9" w14:paraId="64D2A36D" w14:textId="77777777">
        <w:trPr>
          <w:jc w:val="center"/>
        </w:trPr>
        <w:tc>
          <w:tcPr>
            <w:tcW w:w="2045" w:type="dxa"/>
            <w:shd w:val="clear" w:color="auto" w:fill="D9EAF7"/>
            <w:vAlign w:val="center"/>
          </w:tcPr>
          <w:p w14:paraId="7EF7D080" w14:textId="77777777" w:rsidR="00DD57B9" w:rsidRDefault="00000000">
            <w:r>
              <w:rPr>
                <w:b/>
                <w:sz w:val="15"/>
              </w:rPr>
              <w:t>Safety, amenity, dining and retail</w:t>
            </w:r>
          </w:p>
        </w:tc>
        <w:tc>
          <w:tcPr>
            <w:tcW w:w="2045" w:type="dxa"/>
            <w:vAlign w:val="center"/>
          </w:tcPr>
          <w:p w14:paraId="0406BDCF" w14:textId="77777777" w:rsidR="00DD57B9" w:rsidRDefault="00000000">
            <w:r>
              <w:rPr>
                <w:sz w:val="15"/>
              </w:rPr>
              <w:t>5%</w:t>
            </w:r>
          </w:p>
        </w:tc>
        <w:tc>
          <w:tcPr>
            <w:tcW w:w="2045" w:type="dxa"/>
            <w:vAlign w:val="center"/>
          </w:tcPr>
          <w:p w14:paraId="11AC52B1" w14:textId="77777777" w:rsidR="00DD57B9" w:rsidRDefault="00000000">
            <w:r>
              <w:rPr>
                <w:sz w:val="15"/>
              </w:rPr>
              <w:t>5</w:t>
            </w:r>
          </w:p>
        </w:tc>
        <w:tc>
          <w:tcPr>
            <w:tcW w:w="2045" w:type="dxa"/>
            <w:vAlign w:val="center"/>
          </w:tcPr>
          <w:p w14:paraId="1AED1563" w14:textId="77777777" w:rsidR="00DD57B9" w:rsidRDefault="00000000">
            <w:r>
              <w:rPr>
                <w:sz w:val="15"/>
              </w:rPr>
              <w:t>4</w:t>
            </w:r>
          </w:p>
        </w:tc>
        <w:tc>
          <w:tcPr>
            <w:tcW w:w="2045" w:type="dxa"/>
            <w:vAlign w:val="center"/>
          </w:tcPr>
          <w:p w14:paraId="145A3C94" w14:textId="77777777" w:rsidR="00DD57B9" w:rsidRDefault="00000000">
            <w:r>
              <w:rPr>
                <w:sz w:val="15"/>
              </w:rPr>
              <w:t>4</w:t>
            </w:r>
          </w:p>
        </w:tc>
      </w:tr>
      <w:tr w:rsidR="00DD57B9" w14:paraId="25589F79" w14:textId="77777777">
        <w:trPr>
          <w:jc w:val="center"/>
        </w:trPr>
        <w:tc>
          <w:tcPr>
            <w:tcW w:w="2045" w:type="dxa"/>
            <w:shd w:val="clear" w:color="auto" w:fill="D9EAF7"/>
            <w:vAlign w:val="center"/>
          </w:tcPr>
          <w:p w14:paraId="7FD46622" w14:textId="77777777" w:rsidR="00DD57B9" w:rsidRDefault="00000000">
            <w:r>
              <w:rPr>
                <w:b/>
                <w:sz w:val="15"/>
              </w:rPr>
              <w:t>Workforce availability</w:t>
            </w:r>
          </w:p>
        </w:tc>
        <w:tc>
          <w:tcPr>
            <w:tcW w:w="2045" w:type="dxa"/>
            <w:vAlign w:val="center"/>
          </w:tcPr>
          <w:p w14:paraId="125F28E1" w14:textId="77777777" w:rsidR="00DD57B9" w:rsidRDefault="00000000">
            <w:r>
              <w:rPr>
                <w:sz w:val="15"/>
              </w:rPr>
              <w:t>3%</w:t>
            </w:r>
          </w:p>
        </w:tc>
        <w:tc>
          <w:tcPr>
            <w:tcW w:w="2045" w:type="dxa"/>
            <w:vAlign w:val="center"/>
          </w:tcPr>
          <w:p w14:paraId="67B00365" w14:textId="77777777" w:rsidR="00DD57B9" w:rsidRDefault="00000000">
            <w:r>
              <w:rPr>
                <w:sz w:val="15"/>
              </w:rPr>
              <w:t>5</w:t>
            </w:r>
          </w:p>
        </w:tc>
        <w:tc>
          <w:tcPr>
            <w:tcW w:w="2045" w:type="dxa"/>
            <w:vAlign w:val="center"/>
          </w:tcPr>
          <w:p w14:paraId="667F3AB7" w14:textId="77777777" w:rsidR="00DD57B9" w:rsidRDefault="00000000">
            <w:r>
              <w:rPr>
                <w:sz w:val="15"/>
              </w:rPr>
              <w:t>4</w:t>
            </w:r>
          </w:p>
        </w:tc>
        <w:tc>
          <w:tcPr>
            <w:tcW w:w="2045" w:type="dxa"/>
            <w:vAlign w:val="center"/>
          </w:tcPr>
          <w:p w14:paraId="39FC7671" w14:textId="77777777" w:rsidR="00DD57B9" w:rsidRDefault="00000000">
            <w:r>
              <w:rPr>
                <w:sz w:val="15"/>
              </w:rPr>
              <w:t>4</w:t>
            </w:r>
          </w:p>
        </w:tc>
      </w:tr>
      <w:tr w:rsidR="00DD57B9" w14:paraId="12C8AF1D" w14:textId="77777777">
        <w:trPr>
          <w:jc w:val="center"/>
        </w:trPr>
        <w:tc>
          <w:tcPr>
            <w:tcW w:w="2045" w:type="dxa"/>
            <w:shd w:val="clear" w:color="auto" w:fill="D9EAF7"/>
            <w:vAlign w:val="center"/>
          </w:tcPr>
          <w:p w14:paraId="53EAB74D" w14:textId="77777777" w:rsidR="00DD57B9" w:rsidRDefault="00000000">
            <w:r>
              <w:rPr>
                <w:b/>
                <w:sz w:val="15"/>
              </w:rPr>
              <w:t>Future development and regeneration</w:t>
            </w:r>
          </w:p>
        </w:tc>
        <w:tc>
          <w:tcPr>
            <w:tcW w:w="2045" w:type="dxa"/>
            <w:vAlign w:val="center"/>
          </w:tcPr>
          <w:p w14:paraId="6E86F6B6" w14:textId="77777777" w:rsidR="00DD57B9" w:rsidRDefault="00000000">
            <w:r>
              <w:rPr>
                <w:sz w:val="15"/>
              </w:rPr>
              <w:t>2%</w:t>
            </w:r>
          </w:p>
        </w:tc>
        <w:tc>
          <w:tcPr>
            <w:tcW w:w="2045" w:type="dxa"/>
            <w:vAlign w:val="center"/>
          </w:tcPr>
          <w:p w14:paraId="4AB399FB" w14:textId="77777777" w:rsidR="00DD57B9" w:rsidRDefault="00000000">
            <w:r>
              <w:rPr>
                <w:sz w:val="15"/>
              </w:rPr>
              <w:t>4</w:t>
            </w:r>
          </w:p>
        </w:tc>
        <w:tc>
          <w:tcPr>
            <w:tcW w:w="2045" w:type="dxa"/>
            <w:vAlign w:val="center"/>
          </w:tcPr>
          <w:p w14:paraId="67270161" w14:textId="77777777" w:rsidR="00DD57B9" w:rsidRDefault="00000000">
            <w:r>
              <w:rPr>
                <w:sz w:val="15"/>
              </w:rPr>
              <w:t>4</w:t>
            </w:r>
          </w:p>
        </w:tc>
        <w:tc>
          <w:tcPr>
            <w:tcW w:w="2045" w:type="dxa"/>
            <w:vAlign w:val="center"/>
          </w:tcPr>
          <w:p w14:paraId="5E6CE637" w14:textId="77777777" w:rsidR="00DD57B9" w:rsidRDefault="00000000">
            <w:r>
              <w:rPr>
                <w:sz w:val="15"/>
              </w:rPr>
              <w:t>4</w:t>
            </w:r>
          </w:p>
        </w:tc>
      </w:tr>
      <w:tr w:rsidR="00DD57B9" w14:paraId="244CECE8" w14:textId="77777777">
        <w:trPr>
          <w:jc w:val="center"/>
        </w:trPr>
        <w:tc>
          <w:tcPr>
            <w:tcW w:w="2045" w:type="dxa"/>
            <w:shd w:val="clear" w:color="auto" w:fill="D9EAF7"/>
            <w:vAlign w:val="center"/>
          </w:tcPr>
          <w:p w14:paraId="37F2AAED" w14:textId="77777777" w:rsidR="00DD57B9" w:rsidRDefault="00000000">
            <w:r>
              <w:rPr>
                <w:b/>
                <w:sz w:val="15"/>
              </w:rPr>
              <w:t>Key risks, including cannibalisation</w:t>
            </w:r>
          </w:p>
        </w:tc>
        <w:tc>
          <w:tcPr>
            <w:tcW w:w="2045" w:type="dxa"/>
            <w:vAlign w:val="center"/>
          </w:tcPr>
          <w:p w14:paraId="73941332" w14:textId="77777777" w:rsidR="00DD57B9" w:rsidRDefault="00000000">
            <w:r>
              <w:rPr>
                <w:sz w:val="15"/>
              </w:rPr>
              <w:t>2%</w:t>
            </w:r>
          </w:p>
        </w:tc>
        <w:tc>
          <w:tcPr>
            <w:tcW w:w="2045" w:type="dxa"/>
            <w:vAlign w:val="center"/>
          </w:tcPr>
          <w:p w14:paraId="12B161D9" w14:textId="77777777" w:rsidR="00DD57B9" w:rsidRDefault="00000000">
            <w:r>
              <w:rPr>
                <w:sz w:val="15"/>
              </w:rPr>
              <w:t>2</w:t>
            </w:r>
          </w:p>
        </w:tc>
        <w:tc>
          <w:tcPr>
            <w:tcW w:w="2045" w:type="dxa"/>
            <w:vAlign w:val="center"/>
          </w:tcPr>
          <w:p w14:paraId="3A037EE6" w14:textId="77777777" w:rsidR="00DD57B9" w:rsidRDefault="00000000">
            <w:r>
              <w:rPr>
                <w:sz w:val="15"/>
              </w:rPr>
              <w:t>3</w:t>
            </w:r>
          </w:p>
        </w:tc>
        <w:tc>
          <w:tcPr>
            <w:tcW w:w="2045" w:type="dxa"/>
            <w:vAlign w:val="center"/>
          </w:tcPr>
          <w:p w14:paraId="332818D2" w14:textId="77777777" w:rsidR="00DD57B9" w:rsidRDefault="00000000">
            <w:r>
              <w:rPr>
                <w:sz w:val="15"/>
              </w:rPr>
              <w:t>4</w:t>
            </w:r>
          </w:p>
        </w:tc>
      </w:tr>
      <w:tr w:rsidR="00DD57B9" w14:paraId="39A8ED03" w14:textId="77777777">
        <w:trPr>
          <w:jc w:val="center"/>
        </w:trPr>
        <w:tc>
          <w:tcPr>
            <w:tcW w:w="2045" w:type="dxa"/>
            <w:shd w:val="clear" w:color="auto" w:fill="E2F0D9"/>
            <w:vAlign w:val="center"/>
          </w:tcPr>
          <w:p w14:paraId="36295819" w14:textId="77777777" w:rsidR="00DD57B9" w:rsidRDefault="00000000">
            <w:r>
              <w:rPr>
                <w:b/>
                <w:sz w:val="15"/>
              </w:rPr>
              <w:t>Weighted total</w:t>
            </w:r>
          </w:p>
        </w:tc>
        <w:tc>
          <w:tcPr>
            <w:tcW w:w="2045" w:type="dxa"/>
            <w:shd w:val="clear" w:color="auto" w:fill="E2F0D9"/>
            <w:vAlign w:val="center"/>
          </w:tcPr>
          <w:p w14:paraId="6B258C6C" w14:textId="77777777" w:rsidR="00DD57B9" w:rsidRDefault="00000000">
            <w:r>
              <w:rPr>
                <w:b/>
                <w:sz w:val="15"/>
              </w:rPr>
              <w:t>100%</w:t>
            </w:r>
          </w:p>
        </w:tc>
        <w:tc>
          <w:tcPr>
            <w:tcW w:w="2045" w:type="dxa"/>
            <w:shd w:val="clear" w:color="auto" w:fill="E2F0D9"/>
            <w:vAlign w:val="center"/>
          </w:tcPr>
          <w:p w14:paraId="1A89072B" w14:textId="77777777" w:rsidR="00DD57B9" w:rsidRDefault="00000000">
            <w:r>
              <w:rPr>
                <w:b/>
                <w:sz w:val="15"/>
              </w:rPr>
              <w:t>3.43</w:t>
            </w:r>
          </w:p>
        </w:tc>
        <w:tc>
          <w:tcPr>
            <w:tcW w:w="2045" w:type="dxa"/>
            <w:shd w:val="clear" w:color="auto" w:fill="E2F0D9"/>
            <w:vAlign w:val="center"/>
          </w:tcPr>
          <w:p w14:paraId="15E4C0E2" w14:textId="77777777" w:rsidR="00DD57B9" w:rsidRDefault="00000000">
            <w:r>
              <w:rPr>
                <w:b/>
                <w:sz w:val="15"/>
              </w:rPr>
              <w:t>3.86</w:t>
            </w:r>
          </w:p>
        </w:tc>
        <w:tc>
          <w:tcPr>
            <w:tcW w:w="2045" w:type="dxa"/>
            <w:shd w:val="clear" w:color="auto" w:fill="E2F0D9"/>
            <w:vAlign w:val="center"/>
          </w:tcPr>
          <w:p w14:paraId="03C863CA" w14:textId="77777777" w:rsidR="00DD57B9" w:rsidRDefault="00000000">
            <w:r>
              <w:rPr>
                <w:b/>
                <w:sz w:val="15"/>
              </w:rPr>
              <w:t>3.52</w:t>
            </w:r>
          </w:p>
        </w:tc>
      </w:tr>
    </w:tbl>
    <w:p w14:paraId="20996183" w14:textId="77777777" w:rsidR="00DD57B9" w:rsidRDefault="00DD57B9">
      <w:pPr>
        <w:spacing w:after="80" w:line="252" w:lineRule="auto"/>
      </w:pPr>
    </w:p>
    <w:tbl>
      <w:tblPr>
        <w:tblStyle w:val="TableGrid"/>
        <w:tblW w:w="0" w:type="auto"/>
        <w:jc w:val="center"/>
        <w:tblLook w:val="04A0" w:firstRow="1" w:lastRow="0" w:firstColumn="1" w:lastColumn="0" w:noHBand="0" w:noVBand="1"/>
      </w:tblPr>
      <w:tblGrid>
        <w:gridCol w:w="10224"/>
      </w:tblGrid>
      <w:tr w:rsidR="00DD57B9" w14:paraId="76DDE330" w14:textId="77777777">
        <w:trPr>
          <w:cantSplit/>
          <w:jc w:val="center"/>
        </w:trPr>
        <w:tc>
          <w:tcPr>
            <w:tcW w:w="10224" w:type="dxa"/>
            <w:shd w:val="clear" w:color="auto" w:fill="E2F0D9"/>
            <w:vAlign w:val="center"/>
          </w:tcPr>
          <w:p w14:paraId="373E94C4" w14:textId="77777777" w:rsidR="00DD57B9" w:rsidRDefault="00000000">
            <w:r>
              <w:t>Expanded scoring result: Docklands 3.86, Carlton 3.52, Melbourne CBD 3.43. Docklands becomes the preliminary preferred suburb because it combines strong guest and airport access, better site and loading potential, and stronger supply logistics. Carlton remains the preferred backup for differentiated extended-stay demand, while Melbourne CBD remains the market-demand backup.</w:t>
            </w:r>
          </w:p>
        </w:tc>
      </w:tr>
    </w:tbl>
    <w:p w14:paraId="3961AD49" w14:textId="77777777" w:rsidR="00DD57B9" w:rsidRDefault="00DD57B9">
      <w:pPr>
        <w:spacing w:after="80" w:line="252" w:lineRule="auto"/>
      </w:pPr>
    </w:p>
    <w:p w14:paraId="7341A54E" w14:textId="77777777" w:rsidR="00DD57B9" w:rsidRDefault="00000000">
      <w:pPr>
        <w:pStyle w:val="Heading1"/>
      </w:pPr>
      <w:r>
        <w:lastRenderedPageBreak/>
        <w:t>9. Supply Chain and Warehouse Accessibility</w:t>
      </w:r>
    </w:p>
    <w:p w14:paraId="386F8EBB" w14:textId="77777777" w:rsidR="00DD57B9" w:rsidRDefault="00000000">
      <w:r>
        <w:t>Periodic hotel operations require deliveries of linen, food and beverages, cleaning products, guest amenities, maintenance items and replacement equipment. The exact locations of Oakwood’s warehouse, commercial laundry provider and major suppliers are not publicly available and must be confirmed with Oakwood’s procurement and operations teams. At suburb level, the comparison should consider delivery distance, travel time, congestion, emergency replenishment, road access and distribution cost. At property level, loading docks, service entrances, goods lifts, internal storage and waste-handling space must be verified.</w:t>
      </w:r>
    </w:p>
    <w:tbl>
      <w:tblPr>
        <w:tblStyle w:val="TableGrid"/>
        <w:tblW w:w="0" w:type="auto"/>
        <w:jc w:val="center"/>
        <w:tblLook w:val="04A0" w:firstRow="1" w:lastRow="0" w:firstColumn="1" w:lastColumn="0" w:noHBand="0" w:noVBand="1"/>
      </w:tblPr>
      <w:tblGrid>
        <w:gridCol w:w="5112"/>
        <w:gridCol w:w="5112"/>
      </w:tblGrid>
      <w:tr w:rsidR="00DD57B9" w14:paraId="077A9068" w14:textId="77777777">
        <w:trPr>
          <w:jc w:val="center"/>
        </w:trPr>
        <w:tc>
          <w:tcPr>
            <w:tcW w:w="5112" w:type="dxa"/>
            <w:shd w:val="clear" w:color="auto" w:fill="1F4E78"/>
            <w:vAlign w:val="center"/>
          </w:tcPr>
          <w:p w14:paraId="2AC37D44" w14:textId="77777777" w:rsidR="00DD57B9" w:rsidRDefault="00000000">
            <w:r>
              <w:rPr>
                <w:b/>
                <w:color w:val="FFFFFF"/>
                <w:sz w:val="17"/>
              </w:rPr>
              <w:t>Location</w:t>
            </w:r>
          </w:p>
        </w:tc>
        <w:tc>
          <w:tcPr>
            <w:tcW w:w="5112" w:type="dxa"/>
            <w:shd w:val="clear" w:color="auto" w:fill="1F4E78"/>
            <w:vAlign w:val="center"/>
          </w:tcPr>
          <w:p w14:paraId="28A971AC" w14:textId="77777777" w:rsidR="00DD57B9" w:rsidRDefault="00000000">
            <w:r>
              <w:rPr>
                <w:b/>
                <w:color w:val="FFFFFF"/>
                <w:sz w:val="17"/>
              </w:rPr>
              <w:t>Preliminary logistics assessment</w:t>
            </w:r>
          </w:p>
        </w:tc>
      </w:tr>
      <w:tr w:rsidR="00DD57B9" w14:paraId="195387F5" w14:textId="77777777">
        <w:trPr>
          <w:jc w:val="center"/>
        </w:trPr>
        <w:tc>
          <w:tcPr>
            <w:tcW w:w="5112" w:type="dxa"/>
            <w:shd w:val="clear" w:color="auto" w:fill="D9EAF7"/>
            <w:vAlign w:val="center"/>
          </w:tcPr>
          <w:p w14:paraId="04028CBF" w14:textId="77777777" w:rsidR="00DD57B9" w:rsidRDefault="00000000">
            <w:r>
              <w:rPr>
                <w:sz w:val="17"/>
              </w:rPr>
              <w:t>Melbourne CBD</w:t>
            </w:r>
          </w:p>
        </w:tc>
        <w:tc>
          <w:tcPr>
            <w:tcW w:w="5112" w:type="dxa"/>
            <w:vAlign w:val="center"/>
          </w:tcPr>
          <w:p w14:paraId="70DE403E" w14:textId="77777777" w:rsidR="00DD57B9" w:rsidRDefault="00000000">
            <w:r>
              <w:rPr>
                <w:sz w:val="17"/>
              </w:rPr>
              <w:t>Mature supplier network, but congestion, restricted delivery windows and limited loading areas may increase cost and disruption.</w:t>
            </w:r>
          </w:p>
        </w:tc>
      </w:tr>
      <w:tr w:rsidR="00DD57B9" w14:paraId="0B037D84" w14:textId="77777777">
        <w:trPr>
          <w:jc w:val="center"/>
        </w:trPr>
        <w:tc>
          <w:tcPr>
            <w:tcW w:w="5112" w:type="dxa"/>
            <w:shd w:val="clear" w:color="auto" w:fill="D9EAF7"/>
            <w:vAlign w:val="center"/>
          </w:tcPr>
          <w:p w14:paraId="3493782E" w14:textId="77777777" w:rsidR="00DD57B9" w:rsidRDefault="00000000">
            <w:r>
              <w:rPr>
                <w:sz w:val="17"/>
              </w:rPr>
              <w:t>Docklands</w:t>
            </w:r>
          </w:p>
        </w:tc>
        <w:tc>
          <w:tcPr>
            <w:tcW w:w="5112" w:type="dxa"/>
            <w:vAlign w:val="center"/>
          </w:tcPr>
          <w:p w14:paraId="18763CB4" w14:textId="77777777" w:rsidR="00DD57B9" w:rsidRDefault="00000000">
            <w:r>
              <w:rPr>
                <w:sz w:val="17"/>
              </w:rPr>
              <w:t>Strongest preliminary logistics option because major-road access and newer buildings may provide better loading docks, goods lifts and back-of-house areas.</w:t>
            </w:r>
          </w:p>
        </w:tc>
      </w:tr>
      <w:tr w:rsidR="00DD57B9" w14:paraId="17217483" w14:textId="77777777">
        <w:trPr>
          <w:jc w:val="center"/>
        </w:trPr>
        <w:tc>
          <w:tcPr>
            <w:tcW w:w="5112" w:type="dxa"/>
            <w:shd w:val="clear" w:color="auto" w:fill="D9EAF7"/>
            <w:vAlign w:val="center"/>
          </w:tcPr>
          <w:p w14:paraId="1FF2E64E" w14:textId="77777777" w:rsidR="00DD57B9" w:rsidRDefault="00000000">
            <w:r>
              <w:rPr>
                <w:sz w:val="17"/>
              </w:rPr>
              <w:t>Carlton</w:t>
            </w:r>
          </w:p>
        </w:tc>
        <w:tc>
          <w:tcPr>
            <w:tcW w:w="5112" w:type="dxa"/>
            <w:vAlign w:val="center"/>
          </w:tcPr>
          <w:p w14:paraId="4479FE66" w14:textId="77777777" w:rsidR="00DD57B9" w:rsidRDefault="00000000">
            <w:r>
              <w:rPr>
                <w:sz w:val="17"/>
              </w:rPr>
              <w:t>Reasonable access to northern and central supply routes, but older or heritage buildings may have limited loading and storage capacity.</w:t>
            </w:r>
          </w:p>
        </w:tc>
      </w:tr>
    </w:tbl>
    <w:p w14:paraId="797F76D1" w14:textId="77777777" w:rsidR="00DD57B9" w:rsidRDefault="00000000">
      <w:pPr>
        <w:pStyle w:val="Heading1"/>
      </w:pPr>
      <w:r>
        <w:t>10. Street-Level Selection After the Preferred Suburb</w:t>
      </w:r>
    </w:p>
    <w:p w14:paraId="29FE16BB" w14:textId="77777777" w:rsidR="00DD57B9" w:rsidRDefault="00000000">
      <w:r>
        <w:t>Docklands is the preferred suburb. The recommended street corridor for the first property search is the Collins Street–Victoria Harbour corridor, particularly the eastern Docklands section between Southern Cross Station and Harbour Esplanade. This corridor provides the most practical arrival route for guests carrying luggage because it is close to Southern Cross Station and airport-coach services, is served by Collins Street trams within the Free Tram Zone, and offers direct access to offices, waterfront amenities and Marvel Stadium. Bourke Street near the Stadium Precinct should be retained as a backup corridor, but event-day congestion and noise require closer testing.</w:t>
      </w:r>
    </w:p>
    <w:tbl>
      <w:tblPr>
        <w:tblStyle w:val="TableGrid"/>
        <w:tblW w:w="0" w:type="auto"/>
        <w:jc w:val="center"/>
        <w:tblLook w:val="04A0" w:firstRow="1" w:lastRow="0" w:firstColumn="1" w:lastColumn="0" w:noHBand="0" w:noVBand="1"/>
      </w:tblPr>
      <w:tblGrid>
        <w:gridCol w:w="5112"/>
        <w:gridCol w:w="5112"/>
      </w:tblGrid>
      <w:tr w:rsidR="00DD57B9" w14:paraId="16E2BF82" w14:textId="77777777">
        <w:trPr>
          <w:jc w:val="center"/>
        </w:trPr>
        <w:tc>
          <w:tcPr>
            <w:tcW w:w="5112" w:type="dxa"/>
            <w:shd w:val="clear" w:color="auto" w:fill="1F4E78"/>
            <w:vAlign w:val="center"/>
          </w:tcPr>
          <w:p w14:paraId="13BABF81" w14:textId="77777777" w:rsidR="00DD57B9" w:rsidRDefault="00000000">
            <w:r>
              <w:rPr>
                <w:b/>
                <w:color w:val="FFFFFF"/>
                <w:sz w:val="20"/>
              </w:rPr>
              <w:t>Street-level decision</w:t>
            </w:r>
          </w:p>
        </w:tc>
        <w:tc>
          <w:tcPr>
            <w:tcW w:w="5112" w:type="dxa"/>
            <w:shd w:val="clear" w:color="auto" w:fill="1F4E78"/>
            <w:vAlign w:val="center"/>
          </w:tcPr>
          <w:p w14:paraId="7E517AD8" w14:textId="77777777" w:rsidR="00DD57B9" w:rsidRDefault="00000000">
            <w:r>
              <w:rPr>
                <w:b/>
                <w:color w:val="FFFFFF"/>
                <w:sz w:val="20"/>
              </w:rPr>
              <w:t>Specific Docklands answer</w:t>
            </w:r>
          </w:p>
        </w:tc>
      </w:tr>
      <w:tr w:rsidR="00DD57B9" w14:paraId="0BB18100" w14:textId="77777777">
        <w:trPr>
          <w:jc w:val="center"/>
        </w:trPr>
        <w:tc>
          <w:tcPr>
            <w:tcW w:w="5112" w:type="dxa"/>
            <w:shd w:val="clear" w:color="auto" w:fill="D9EAF7"/>
            <w:vAlign w:val="center"/>
          </w:tcPr>
          <w:p w14:paraId="13D9AEA1" w14:textId="77777777" w:rsidR="00DD57B9" w:rsidRDefault="00000000">
            <w:r>
              <w:rPr>
                <w:sz w:val="20"/>
              </w:rPr>
              <w:t>Preferred street corridor</w:t>
            </w:r>
          </w:p>
        </w:tc>
        <w:tc>
          <w:tcPr>
            <w:tcW w:w="5112" w:type="dxa"/>
            <w:vAlign w:val="center"/>
          </w:tcPr>
          <w:p w14:paraId="210D0625" w14:textId="77777777" w:rsidR="00DD57B9" w:rsidRDefault="00000000">
            <w:r>
              <w:rPr>
                <w:sz w:val="20"/>
              </w:rPr>
              <w:t>Collins Street–Victoria Harbour, between Southern Cross Station and Harbour Esplanade.</w:t>
            </w:r>
          </w:p>
        </w:tc>
      </w:tr>
      <w:tr w:rsidR="00DD57B9" w14:paraId="6B50EA87" w14:textId="77777777">
        <w:trPr>
          <w:jc w:val="center"/>
        </w:trPr>
        <w:tc>
          <w:tcPr>
            <w:tcW w:w="5112" w:type="dxa"/>
            <w:shd w:val="clear" w:color="auto" w:fill="D9EAF7"/>
            <w:vAlign w:val="center"/>
          </w:tcPr>
          <w:p w14:paraId="33AEA262" w14:textId="77777777" w:rsidR="00DD57B9" w:rsidRDefault="00000000">
            <w:r>
              <w:rPr>
                <w:sz w:val="20"/>
              </w:rPr>
              <w:t>Guest arrival with luggage</w:t>
            </w:r>
          </w:p>
        </w:tc>
        <w:tc>
          <w:tcPr>
            <w:tcW w:w="5112" w:type="dxa"/>
            <w:vAlign w:val="center"/>
          </w:tcPr>
          <w:p w14:paraId="4D986B15" w14:textId="77777777" w:rsidR="00DD57B9" w:rsidRDefault="00000000">
            <w:r>
              <w:rPr>
                <w:sz w:val="20"/>
              </w:rPr>
              <w:t>Preferred because guests can arrive through Southern Cross Station or airport-coach services and continue by a short, mostly level walk or a Free Tram Zone service along Collins Street.</w:t>
            </w:r>
          </w:p>
        </w:tc>
      </w:tr>
      <w:tr w:rsidR="00DD57B9" w14:paraId="2C78A476" w14:textId="77777777">
        <w:trPr>
          <w:jc w:val="center"/>
        </w:trPr>
        <w:tc>
          <w:tcPr>
            <w:tcW w:w="5112" w:type="dxa"/>
            <w:shd w:val="clear" w:color="auto" w:fill="D9EAF7"/>
            <w:vAlign w:val="center"/>
          </w:tcPr>
          <w:p w14:paraId="1A423E72" w14:textId="77777777" w:rsidR="00DD57B9" w:rsidRDefault="00000000">
            <w:r>
              <w:rPr>
                <w:sz w:val="20"/>
              </w:rPr>
              <w:t>Taxi, rideshare and coach access</w:t>
            </w:r>
          </w:p>
        </w:tc>
        <w:tc>
          <w:tcPr>
            <w:tcW w:w="5112" w:type="dxa"/>
            <w:vAlign w:val="center"/>
          </w:tcPr>
          <w:p w14:paraId="7A626990" w14:textId="77777777" w:rsidR="00DD57B9" w:rsidRDefault="00000000">
            <w:r>
              <w:rPr>
                <w:sz w:val="20"/>
              </w:rPr>
              <w:t>A property should be shortlisted only where Collins Street or a connected side street can provide a legal kerbside drop-off or porte-cochère without blocking tram, cycle or pedestrian movements.</w:t>
            </w:r>
          </w:p>
        </w:tc>
      </w:tr>
      <w:tr w:rsidR="00DD57B9" w14:paraId="5B0CC5FB" w14:textId="77777777">
        <w:trPr>
          <w:jc w:val="center"/>
        </w:trPr>
        <w:tc>
          <w:tcPr>
            <w:tcW w:w="5112" w:type="dxa"/>
            <w:shd w:val="clear" w:color="auto" w:fill="D9EAF7"/>
            <w:vAlign w:val="center"/>
          </w:tcPr>
          <w:p w14:paraId="2B4A131E" w14:textId="77777777" w:rsidR="00DD57B9" w:rsidRDefault="00000000">
            <w:r>
              <w:rPr>
                <w:sz w:val="20"/>
              </w:rPr>
              <w:t>Visibility and amenity</w:t>
            </w:r>
          </w:p>
        </w:tc>
        <w:tc>
          <w:tcPr>
            <w:tcW w:w="5112" w:type="dxa"/>
            <w:vAlign w:val="center"/>
          </w:tcPr>
          <w:p w14:paraId="53CC2DFB" w14:textId="77777777" w:rsidR="00DD57B9" w:rsidRDefault="00000000">
            <w:r>
              <w:rPr>
                <w:sz w:val="20"/>
              </w:rPr>
              <w:t>The corridor has strong visibility and access to offices, waterfront dining, daily retail, Marvel Stadium and central-city services.</w:t>
            </w:r>
          </w:p>
        </w:tc>
      </w:tr>
      <w:tr w:rsidR="00DD57B9" w14:paraId="22F2008C" w14:textId="77777777">
        <w:trPr>
          <w:jc w:val="center"/>
        </w:trPr>
        <w:tc>
          <w:tcPr>
            <w:tcW w:w="5112" w:type="dxa"/>
            <w:shd w:val="clear" w:color="auto" w:fill="D9EAF7"/>
            <w:vAlign w:val="center"/>
          </w:tcPr>
          <w:p w14:paraId="1414192F" w14:textId="77777777" w:rsidR="00DD57B9" w:rsidRDefault="00000000">
            <w:r>
              <w:rPr>
                <w:sz w:val="20"/>
              </w:rPr>
              <w:t>Loading and service access</w:t>
            </w:r>
          </w:p>
        </w:tc>
        <w:tc>
          <w:tcPr>
            <w:tcW w:w="5112" w:type="dxa"/>
            <w:vAlign w:val="center"/>
          </w:tcPr>
          <w:p w14:paraId="6216E23C" w14:textId="77777777" w:rsidR="00DD57B9" w:rsidRDefault="00000000">
            <w:r>
              <w:rPr>
                <w:sz w:val="20"/>
              </w:rPr>
              <w:t>Select a modern mixed-use building with a separate rear or basement loading bay, goods lift, waste room and service entrance. A building relying only on the Collins Street frontage should be rejected.</w:t>
            </w:r>
          </w:p>
        </w:tc>
      </w:tr>
      <w:tr w:rsidR="00DD57B9" w14:paraId="6759A422" w14:textId="77777777">
        <w:trPr>
          <w:jc w:val="center"/>
        </w:trPr>
        <w:tc>
          <w:tcPr>
            <w:tcW w:w="5112" w:type="dxa"/>
            <w:shd w:val="clear" w:color="auto" w:fill="D9EAF7"/>
            <w:vAlign w:val="center"/>
          </w:tcPr>
          <w:p w14:paraId="390BD227" w14:textId="77777777" w:rsidR="00DD57B9" w:rsidRDefault="00000000">
            <w:r>
              <w:rPr>
                <w:sz w:val="20"/>
              </w:rPr>
              <w:t>Noise and safety</w:t>
            </w:r>
          </w:p>
        </w:tc>
        <w:tc>
          <w:tcPr>
            <w:tcW w:w="5112" w:type="dxa"/>
            <w:vAlign w:val="center"/>
          </w:tcPr>
          <w:p w14:paraId="1589ED19" w14:textId="77777777" w:rsidR="00DD57B9" w:rsidRDefault="00000000">
            <w:r>
              <w:rPr>
                <w:sz w:val="20"/>
              </w:rPr>
              <w:t>Prefer the Victoria Harbour side of the corridor rather than a site immediately beside Marvel Stadium. Require acoustic glazing and test event-day, tram and late-night noise before approval.</w:t>
            </w:r>
          </w:p>
        </w:tc>
      </w:tr>
      <w:tr w:rsidR="00DD57B9" w14:paraId="44986FFA" w14:textId="77777777">
        <w:trPr>
          <w:jc w:val="center"/>
        </w:trPr>
        <w:tc>
          <w:tcPr>
            <w:tcW w:w="5112" w:type="dxa"/>
            <w:shd w:val="clear" w:color="auto" w:fill="D9EAF7"/>
            <w:vAlign w:val="center"/>
          </w:tcPr>
          <w:p w14:paraId="74FA9433" w14:textId="77777777" w:rsidR="00DD57B9" w:rsidRDefault="00000000">
            <w:r>
              <w:rPr>
                <w:sz w:val="20"/>
              </w:rPr>
              <w:t>Backup street corridor</w:t>
            </w:r>
          </w:p>
        </w:tc>
        <w:tc>
          <w:tcPr>
            <w:tcW w:w="5112" w:type="dxa"/>
            <w:vAlign w:val="center"/>
          </w:tcPr>
          <w:p w14:paraId="4C145F4A" w14:textId="77777777" w:rsidR="00DD57B9" w:rsidRDefault="00000000">
            <w:r>
              <w:rPr>
                <w:sz w:val="20"/>
              </w:rPr>
              <w:t>Bourke Street / Stadium Precinct, subject to stronger event-traffic, coach-access and acoustic controls.</w:t>
            </w:r>
          </w:p>
        </w:tc>
      </w:tr>
    </w:tbl>
    <w:p w14:paraId="270C9859" w14:textId="77777777" w:rsidR="00DD57B9" w:rsidRDefault="00000000">
      <w:pPr>
        <w:pStyle w:val="Heading1"/>
      </w:pPr>
      <w:r>
        <w:lastRenderedPageBreak/>
        <w:t>11. Planning, Zoning and Construction Feasibility</w:t>
      </w:r>
    </w:p>
    <w:p w14:paraId="293D4F99" w14:textId="77777777" w:rsidR="00DD57B9" w:rsidRDefault="00000000">
      <w:r>
        <w:t>For the recommended Collins Street–Victoria Harbour corridor, the relevant planning framework is the Melbourne Planning Scheme and Docklands Zone Schedule 2 (Victoria Harbour Precinct). Hotel or residential-hotel development is compatible with the mixed-use purpose of the precinct, but this does not mean that a specific property is automatically approved. A planning permit is expected for a new building, major external works, additional floors or conversion where the existing approved use differs. A separate building permit will also be required, and the accommodation classification, fire safety, accessibility, lifts and services must be confirmed by a building surveyor. Therefore, the corridor is planning-compatible in principle, while approval remains property-specific.</w:t>
      </w:r>
    </w:p>
    <w:tbl>
      <w:tblPr>
        <w:tblStyle w:val="TableGrid"/>
        <w:tblW w:w="0" w:type="auto"/>
        <w:jc w:val="center"/>
        <w:tblLook w:val="04A0" w:firstRow="1" w:lastRow="0" w:firstColumn="1" w:lastColumn="0" w:noHBand="0" w:noVBand="1"/>
      </w:tblPr>
      <w:tblGrid>
        <w:gridCol w:w="5112"/>
        <w:gridCol w:w="5112"/>
      </w:tblGrid>
      <w:tr w:rsidR="00DD57B9" w14:paraId="503FE1F4" w14:textId="77777777">
        <w:trPr>
          <w:jc w:val="center"/>
        </w:trPr>
        <w:tc>
          <w:tcPr>
            <w:tcW w:w="5112" w:type="dxa"/>
            <w:shd w:val="clear" w:color="auto" w:fill="1F4E78"/>
            <w:vAlign w:val="center"/>
          </w:tcPr>
          <w:p w14:paraId="30235C14" w14:textId="77777777" w:rsidR="00DD57B9" w:rsidRDefault="00000000">
            <w:r>
              <w:rPr>
                <w:b/>
                <w:color w:val="FFFFFF"/>
                <w:sz w:val="20"/>
              </w:rPr>
              <w:t>Planning item</w:t>
            </w:r>
          </w:p>
        </w:tc>
        <w:tc>
          <w:tcPr>
            <w:tcW w:w="5112" w:type="dxa"/>
            <w:shd w:val="clear" w:color="auto" w:fill="1F4E78"/>
            <w:vAlign w:val="center"/>
          </w:tcPr>
          <w:p w14:paraId="57902748" w14:textId="77777777" w:rsidR="00DD57B9" w:rsidRDefault="00000000">
            <w:r>
              <w:rPr>
                <w:b/>
                <w:color w:val="FFFFFF"/>
                <w:sz w:val="20"/>
              </w:rPr>
              <w:t>Specific Docklands answer</w:t>
            </w:r>
          </w:p>
        </w:tc>
      </w:tr>
      <w:tr w:rsidR="00DD57B9" w14:paraId="13BBC1E2" w14:textId="77777777">
        <w:trPr>
          <w:jc w:val="center"/>
        </w:trPr>
        <w:tc>
          <w:tcPr>
            <w:tcW w:w="5112" w:type="dxa"/>
            <w:shd w:val="clear" w:color="auto" w:fill="D9EAF7"/>
            <w:vAlign w:val="center"/>
          </w:tcPr>
          <w:p w14:paraId="3DCC1D97" w14:textId="77777777" w:rsidR="00DD57B9" w:rsidRDefault="00000000">
            <w:r>
              <w:rPr>
                <w:sz w:val="20"/>
              </w:rPr>
              <w:t>Applicable planning control</w:t>
            </w:r>
          </w:p>
        </w:tc>
        <w:tc>
          <w:tcPr>
            <w:tcW w:w="5112" w:type="dxa"/>
            <w:vAlign w:val="center"/>
          </w:tcPr>
          <w:p w14:paraId="5A97FC6D" w14:textId="77777777" w:rsidR="00DD57B9" w:rsidRDefault="00000000">
            <w:r>
              <w:rPr>
                <w:sz w:val="20"/>
              </w:rPr>
              <w:t>The preferred Collins Street–Victoria Harbour corridor is generally within Docklands Zone Schedule 2, Victoria Harbour Precinct, under the Melbourne Planning Scheme.</w:t>
            </w:r>
          </w:p>
        </w:tc>
      </w:tr>
      <w:tr w:rsidR="00DD57B9" w14:paraId="3C3A563A" w14:textId="77777777">
        <w:trPr>
          <w:jc w:val="center"/>
        </w:trPr>
        <w:tc>
          <w:tcPr>
            <w:tcW w:w="5112" w:type="dxa"/>
            <w:shd w:val="clear" w:color="auto" w:fill="D9EAF7"/>
            <w:vAlign w:val="center"/>
          </w:tcPr>
          <w:p w14:paraId="2509BE3D" w14:textId="77777777" w:rsidR="00DD57B9" w:rsidRDefault="00000000">
            <w:r>
              <w:rPr>
                <w:sz w:val="20"/>
              </w:rPr>
              <w:t>Hotel use compatibility</w:t>
            </w:r>
          </w:p>
        </w:tc>
        <w:tc>
          <w:tcPr>
            <w:tcW w:w="5112" w:type="dxa"/>
            <w:vAlign w:val="center"/>
          </w:tcPr>
          <w:p w14:paraId="01D3FA6A" w14:textId="77777777" w:rsidR="00DD57B9" w:rsidRDefault="00000000">
            <w:r>
              <w:rPr>
                <w:sz w:val="20"/>
              </w:rPr>
              <w:t>Residential hotel / accommodation is consistent with the precinct’s mixed-use direction. The proposed Oakwood concept is therefore suitable in principle for this corridor.</w:t>
            </w:r>
          </w:p>
        </w:tc>
      </w:tr>
      <w:tr w:rsidR="00DD57B9" w14:paraId="1F0E5BC4" w14:textId="77777777">
        <w:trPr>
          <w:jc w:val="center"/>
        </w:trPr>
        <w:tc>
          <w:tcPr>
            <w:tcW w:w="5112" w:type="dxa"/>
            <w:shd w:val="clear" w:color="auto" w:fill="D9EAF7"/>
            <w:vAlign w:val="center"/>
          </w:tcPr>
          <w:p w14:paraId="250ABEE0" w14:textId="77777777" w:rsidR="00DD57B9" w:rsidRDefault="00000000">
            <w:r>
              <w:rPr>
                <w:sz w:val="20"/>
              </w:rPr>
              <w:t>Planning permit requirement</w:t>
            </w:r>
          </w:p>
        </w:tc>
        <w:tc>
          <w:tcPr>
            <w:tcW w:w="5112" w:type="dxa"/>
            <w:vAlign w:val="center"/>
          </w:tcPr>
          <w:p w14:paraId="28494CA7" w14:textId="77777777" w:rsidR="00DD57B9" w:rsidRDefault="00000000">
            <w:r>
              <w:rPr>
                <w:sz w:val="20"/>
              </w:rPr>
              <w:t>Treat a planning permit as required for a new hotel development, substantial conversion, extra floors or external building works. The exact triggers must be confirmed against the selected title, existing permit and overlays.</w:t>
            </w:r>
          </w:p>
        </w:tc>
      </w:tr>
      <w:tr w:rsidR="00DD57B9" w14:paraId="589C5187" w14:textId="77777777">
        <w:trPr>
          <w:jc w:val="center"/>
        </w:trPr>
        <w:tc>
          <w:tcPr>
            <w:tcW w:w="5112" w:type="dxa"/>
            <w:shd w:val="clear" w:color="auto" w:fill="D9EAF7"/>
            <w:vAlign w:val="center"/>
          </w:tcPr>
          <w:p w14:paraId="04E3316B" w14:textId="77777777" w:rsidR="00DD57B9" w:rsidRDefault="00000000">
            <w:r>
              <w:rPr>
                <w:sz w:val="20"/>
              </w:rPr>
              <w:t>Change of use</w:t>
            </w:r>
          </w:p>
        </w:tc>
        <w:tc>
          <w:tcPr>
            <w:tcW w:w="5112" w:type="dxa"/>
            <w:vAlign w:val="center"/>
          </w:tcPr>
          <w:p w14:paraId="1AEB86BA" w14:textId="77777777" w:rsidR="00DD57B9" w:rsidRDefault="00000000">
            <w:r>
              <w:rPr>
                <w:sz w:val="20"/>
              </w:rPr>
              <w:t>No change of use may be needed where an existing building already has an approved hotel or residential-hotel use. Conversion from office, residential or another use is likely to require planning and building approval.</w:t>
            </w:r>
          </w:p>
        </w:tc>
      </w:tr>
      <w:tr w:rsidR="00DD57B9" w14:paraId="2684CD85" w14:textId="77777777">
        <w:trPr>
          <w:jc w:val="center"/>
        </w:trPr>
        <w:tc>
          <w:tcPr>
            <w:tcW w:w="5112" w:type="dxa"/>
            <w:shd w:val="clear" w:color="auto" w:fill="D9EAF7"/>
            <w:vAlign w:val="center"/>
          </w:tcPr>
          <w:p w14:paraId="7FF09E93" w14:textId="77777777" w:rsidR="00DD57B9" w:rsidRDefault="00000000">
            <w:r>
              <w:rPr>
                <w:sz w:val="20"/>
              </w:rPr>
              <w:t>Building permit and classification</w:t>
            </w:r>
          </w:p>
        </w:tc>
        <w:tc>
          <w:tcPr>
            <w:tcW w:w="5112" w:type="dxa"/>
            <w:vAlign w:val="center"/>
          </w:tcPr>
          <w:p w14:paraId="4D007B3E" w14:textId="77777777" w:rsidR="00DD57B9" w:rsidRDefault="00000000">
            <w:r>
              <w:rPr>
                <w:sz w:val="20"/>
              </w:rPr>
              <w:t>A building permit is required for construction or conversion. The project is likely to require Class 3 accommodation compliance, subject to confirmation by the appointed building surveyor.</w:t>
            </w:r>
          </w:p>
        </w:tc>
      </w:tr>
      <w:tr w:rsidR="00DD57B9" w14:paraId="6C4C9499" w14:textId="77777777">
        <w:trPr>
          <w:jc w:val="center"/>
        </w:trPr>
        <w:tc>
          <w:tcPr>
            <w:tcW w:w="5112" w:type="dxa"/>
            <w:shd w:val="clear" w:color="auto" w:fill="D9EAF7"/>
            <w:vAlign w:val="center"/>
          </w:tcPr>
          <w:p w14:paraId="4FCD328B" w14:textId="77777777" w:rsidR="00DD57B9" w:rsidRDefault="00000000">
            <w:r>
              <w:rPr>
                <w:sz w:val="20"/>
              </w:rPr>
              <w:t>Heritage and design controls</w:t>
            </w:r>
          </w:p>
        </w:tc>
        <w:tc>
          <w:tcPr>
            <w:tcW w:w="5112" w:type="dxa"/>
            <w:vAlign w:val="center"/>
          </w:tcPr>
          <w:p w14:paraId="0E18E66D" w14:textId="77777777" w:rsidR="00DD57B9" w:rsidRDefault="00000000">
            <w:r>
              <w:rPr>
                <w:sz w:val="20"/>
              </w:rPr>
              <w:t>Heritage risk is generally lower in Victoria Harbour than in Melbourne CBD or Carlton because much of the precinct is contemporary; however, design, height, public-realm and any site-specific overlay controls still apply.</w:t>
            </w:r>
          </w:p>
        </w:tc>
      </w:tr>
      <w:tr w:rsidR="00DD57B9" w14:paraId="45889027" w14:textId="77777777">
        <w:trPr>
          <w:jc w:val="center"/>
        </w:trPr>
        <w:tc>
          <w:tcPr>
            <w:tcW w:w="5112" w:type="dxa"/>
            <w:shd w:val="clear" w:color="auto" w:fill="D9EAF7"/>
            <w:vAlign w:val="center"/>
          </w:tcPr>
          <w:p w14:paraId="50EDA9D7" w14:textId="77777777" w:rsidR="00DD57B9" w:rsidRDefault="00000000">
            <w:r>
              <w:rPr>
                <w:sz w:val="20"/>
              </w:rPr>
              <w:t>Operational approvals</w:t>
            </w:r>
          </w:p>
        </w:tc>
        <w:tc>
          <w:tcPr>
            <w:tcW w:w="5112" w:type="dxa"/>
            <w:vAlign w:val="center"/>
          </w:tcPr>
          <w:p w14:paraId="48998B7A" w14:textId="77777777" w:rsidR="00DD57B9" w:rsidRDefault="00000000">
            <w:r>
              <w:rPr>
                <w:sz w:val="20"/>
              </w:rPr>
              <w:t>The selected property must demonstrate compliant loading, waste storage, accessibility, parking, signage, liquor licensing where relevant, acoustic treatment and delivery-hour management.</w:t>
            </w:r>
          </w:p>
        </w:tc>
      </w:tr>
      <w:tr w:rsidR="00DD57B9" w14:paraId="43E04B5F" w14:textId="77777777">
        <w:trPr>
          <w:jc w:val="center"/>
        </w:trPr>
        <w:tc>
          <w:tcPr>
            <w:tcW w:w="5112" w:type="dxa"/>
            <w:shd w:val="clear" w:color="auto" w:fill="D9EAF7"/>
            <w:vAlign w:val="center"/>
          </w:tcPr>
          <w:p w14:paraId="230EF0ED" w14:textId="77777777" w:rsidR="00DD57B9" w:rsidRDefault="00000000">
            <w:r>
              <w:rPr>
                <w:sz w:val="20"/>
              </w:rPr>
              <w:t>Planning conclusion</w:t>
            </w:r>
          </w:p>
        </w:tc>
        <w:tc>
          <w:tcPr>
            <w:tcW w:w="5112" w:type="dxa"/>
            <w:vAlign w:val="center"/>
          </w:tcPr>
          <w:p w14:paraId="0F3D75E3" w14:textId="77777777" w:rsidR="00DD57B9" w:rsidRDefault="00000000">
            <w:r>
              <w:rPr>
                <w:sz w:val="20"/>
              </w:rPr>
              <w:t>Proceed with property searches in the corridor, but describe all sites as subject to planning due diligence, permit approval and building-surveyor confirmation. No site is secured or approved at this stage.</w:t>
            </w:r>
          </w:p>
        </w:tc>
      </w:tr>
    </w:tbl>
    <w:p w14:paraId="0EB86769" w14:textId="77777777" w:rsidR="00DD57B9" w:rsidRDefault="00000000">
      <w:pPr>
        <w:pStyle w:val="Heading1"/>
        <w:spacing w:before="140" w:after="80"/>
      </w:pPr>
      <w:r>
        <w:t>12. Preliminary Recommendation</w:t>
      </w:r>
    </w:p>
    <w:p w14:paraId="5363F033" w14:textId="77777777" w:rsidR="00DD57B9" w:rsidRDefault="00000000">
      <w:pPr>
        <w:spacing w:after="80" w:line="252" w:lineRule="auto"/>
      </w:pPr>
      <w:r>
        <w:t>Docklands remains the preliminary preferred suburb. Within Docklands, the Collins Street–Victoria Harbour corridor is the preferred area for the first property search because it combines Southern Cross and airport-coach access, luggage-friendly arrival, Free Tram Zone services, strong corporate and waterfront demand, and better prospects for modern loading and back-of-house facilities. Bourke Street near the Stadium Precinct is the backup corridor, subject to event-day traffic and noise controls.</w:t>
      </w:r>
    </w:p>
    <w:p w14:paraId="3C02B230" w14:textId="77777777" w:rsidR="00DD57B9" w:rsidRDefault="00000000">
      <w:pPr>
        <w:spacing w:after="80" w:line="252" w:lineRule="auto"/>
      </w:pPr>
      <w:r>
        <w:t>Carlton is the primary backup suburb because it provides the clearest customer differentiation from Southbank and may support university, medical and extended-stay demand. Melbourne CBD is the second backup because it offers the deepest hotel market and strongest visibility, although likely property cost, competition, delivery constraints and site availability are less favourable.</w:t>
      </w:r>
    </w:p>
    <w:tbl>
      <w:tblPr>
        <w:tblStyle w:val="TableGrid"/>
        <w:tblW w:w="0" w:type="auto"/>
        <w:jc w:val="center"/>
        <w:tblLook w:val="04A0" w:firstRow="1" w:lastRow="0" w:firstColumn="1" w:lastColumn="0" w:noHBand="0" w:noVBand="1"/>
      </w:tblPr>
      <w:tblGrid>
        <w:gridCol w:w="10224"/>
      </w:tblGrid>
      <w:tr w:rsidR="00DD57B9" w14:paraId="54D3F31A" w14:textId="77777777">
        <w:trPr>
          <w:cantSplit/>
          <w:jc w:val="center"/>
        </w:trPr>
        <w:tc>
          <w:tcPr>
            <w:tcW w:w="10224" w:type="dxa"/>
            <w:shd w:val="clear" w:color="auto" w:fill="D9EAF7"/>
            <w:vAlign w:val="center"/>
          </w:tcPr>
          <w:p w14:paraId="4E7AB739" w14:textId="77777777" w:rsidR="00DD57B9" w:rsidRDefault="00000000">
            <w:r>
              <w:lastRenderedPageBreak/>
              <w:t>Decision rule: Docklands should proceed to street-level and property screening first. Carlton should remain the primary backup if extended-stay differentiation is prioritised. Melbourne CBD should remain the second backup if maximum market depth and brand visibility are prioritised. No site is considered secured or approved.</w:t>
            </w:r>
          </w:p>
        </w:tc>
      </w:tr>
    </w:tbl>
    <w:p w14:paraId="62220DC7" w14:textId="77777777" w:rsidR="00DD57B9" w:rsidRDefault="00DD57B9">
      <w:pPr>
        <w:spacing w:after="80" w:line="252" w:lineRule="auto"/>
      </w:pPr>
    </w:p>
    <w:p w14:paraId="4F776342" w14:textId="77777777" w:rsidR="00DD57B9" w:rsidRDefault="00000000">
      <w:pPr>
        <w:pStyle w:val="Heading1"/>
        <w:spacing w:before="140" w:after="80"/>
      </w:pPr>
      <w:r>
        <w:t>13. Conditions to Verify Before Property Selection</w:t>
      </w:r>
    </w:p>
    <w:p w14:paraId="3227BE42" w14:textId="77777777" w:rsidR="00DD57B9" w:rsidRDefault="00000000">
      <w:pPr>
        <w:pStyle w:val="ListBullet"/>
        <w:spacing w:after="40"/>
      </w:pPr>
      <w:r>
        <w:t>Shortlist at least two specific streets and properties in Docklands, plus backup options in Carlton and Melbourne CBD.</w:t>
      </w:r>
    </w:p>
    <w:p w14:paraId="39BAB74E" w14:textId="77777777" w:rsidR="00DD57B9" w:rsidRDefault="00000000">
      <w:pPr>
        <w:pStyle w:val="ListBullet"/>
        <w:spacing w:after="40"/>
      </w:pPr>
      <w:r>
        <w:t>Obtain formal rent or purchase quotations, floor area, estimated room capacity and conversion or construction cost.</w:t>
      </w:r>
    </w:p>
    <w:p w14:paraId="4B16F032" w14:textId="77777777" w:rsidR="00DD57B9" w:rsidRDefault="00000000">
      <w:pPr>
        <w:pStyle w:val="ListBullet"/>
        <w:spacing w:after="40"/>
      </w:pPr>
      <w:r>
        <w:t>Confirm zoning, hotel-use permission, change-of-use requirements, planning and building permits, heritage controls, loading, parking, waste, noise and accessibility.</w:t>
      </w:r>
    </w:p>
    <w:p w14:paraId="4A09853B" w14:textId="77777777" w:rsidR="00DD57B9" w:rsidRDefault="00000000">
      <w:pPr>
        <w:pStyle w:val="ListBullet"/>
        <w:spacing w:after="40"/>
      </w:pPr>
      <w:r>
        <w:t>Collect occupancy, ADR and RevPAR evidence where available, including weekday/weekend and event/non-event patterns.</w:t>
      </w:r>
    </w:p>
    <w:p w14:paraId="6A4904D1" w14:textId="77777777" w:rsidR="00DD57B9" w:rsidRDefault="00000000">
      <w:pPr>
        <w:pStyle w:val="ListBullet"/>
        <w:spacing w:after="40"/>
      </w:pPr>
      <w:r>
        <w:t>Assess stable non-event demand in Docklands and extended-stay demand in Carlton from universities, hospitals, research organisations and visiting families.</w:t>
      </w:r>
    </w:p>
    <w:p w14:paraId="0E4AC4B5" w14:textId="77777777" w:rsidR="00DD57B9" w:rsidRDefault="00000000">
      <w:pPr>
        <w:pStyle w:val="ListBullet"/>
        <w:spacing w:after="40"/>
      </w:pPr>
      <w:r>
        <w:t>Complete a standardised competitor rate check using the same stay date, room type, guest number and cancellation terms.</w:t>
      </w:r>
    </w:p>
    <w:p w14:paraId="6569141E" w14:textId="77777777" w:rsidR="00DD57B9" w:rsidRDefault="00000000">
      <w:pPr>
        <w:pStyle w:val="ListBullet"/>
        <w:spacing w:after="40"/>
      </w:pPr>
      <w:r>
        <w:t>Confirm Oakwood warehouse, laundry and major-supplier locations; compare delivery time, cost, loading access and storage needs for each shortlisted property.</w:t>
      </w:r>
    </w:p>
    <w:p w14:paraId="0B359DDD" w14:textId="77777777" w:rsidR="00DD57B9" w:rsidRDefault="00000000">
      <w:pPr>
        <w:pStyle w:val="ListBullet"/>
      </w:pPr>
      <w:r>
        <w:t>Test luggage-friendly guest journeys from Melbourne Airport, Southern Cross Station and the nearest tram or train stop to each shortlisted street.</w:t>
      </w:r>
    </w:p>
    <w:p w14:paraId="22F5EE65" w14:textId="77777777" w:rsidR="00DD57B9" w:rsidRDefault="00000000">
      <w:pPr>
        <w:pStyle w:val="Heading1"/>
        <w:spacing w:before="140" w:after="80"/>
      </w:pPr>
      <w:r>
        <w:t>14. Analysis Limitations</w:t>
      </w:r>
    </w:p>
    <w:p w14:paraId="4FC75AA1" w14:textId="77777777" w:rsidR="00DD57B9" w:rsidRDefault="00000000">
      <w:pPr>
        <w:spacing w:after="80" w:line="252" w:lineRule="auto"/>
      </w:pPr>
      <w:r>
        <w:t>This report compares broad precincts rather than specific development sites. Some conclusions are based on known demand drivers and qualitative evidence because precinct-level hotel occupancy, ADR, RevPAR and live commercial-property costs are not fully public. The revised recommendation must therefore be updated after property, demand and financial due diligence.</w:t>
      </w:r>
    </w:p>
    <w:p w14:paraId="2DECA656" w14:textId="77777777" w:rsidR="00DD57B9" w:rsidRDefault="00000000">
      <w:pPr>
        <w:pStyle w:val="Heading1"/>
        <w:spacing w:before="140" w:after="80"/>
      </w:pPr>
      <w:r>
        <w:t>15. References</w:t>
      </w:r>
    </w:p>
    <w:p w14:paraId="6AB5EE88" w14:textId="77777777" w:rsidR="00DD57B9" w:rsidRDefault="00000000">
      <w:pPr>
        <w:pStyle w:val="ListBullet"/>
        <w:spacing w:after="20"/>
        <w:ind w:left="216"/>
      </w:pPr>
      <w:r>
        <w:rPr>
          <w:sz w:val="16"/>
        </w:rPr>
        <w:t>CapitaLand 2026, Oakwood Premier Melbourne, viewed 19 July 2026, https://www.capitaland.com/au/en/our-portfolio/lodging/oakwood-premier-melbourne.html.</w:t>
      </w:r>
    </w:p>
    <w:p w14:paraId="608CC792" w14:textId="77777777" w:rsidR="00DD57B9" w:rsidRDefault="00000000">
      <w:pPr>
        <w:pStyle w:val="ListBullet"/>
        <w:spacing w:after="20"/>
        <w:ind w:left="216"/>
      </w:pPr>
      <w:r>
        <w:rPr>
          <w:sz w:val="16"/>
        </w:rPr>
        <w:t>The Ascott Limited 2026, Oakwood Premier Melbourne, viewed 19 July 2026, https://www.discoverasr.com/en/oakwood/australia/oakwood-premier-melbourne.</w:t>
      </w:r>
    </w:p>
    <w:p w14:paraId="13D12906" w14:textId="77777777" w:rsidR="00DD57B9" w:rsidRDefault="00000000">
      <w:pPr>
        <w:pStyle w:val="ListBullet"/>
        <w:spacing w:after="20"/>
        <w:ind w:left="216"/>
      </w:pPr>
      <w:r>
        <w:rPr>
          <w:sz w:val="16"/>
        </w:rPr>
        <w:t>Public Transport Victoria 2026, Free Tram Zone and travel benefits, viewed 19 July 2026, https://www.ptv.vic.gov.au/tickets/myki/travel-with-myki/travel-benefits/.</w:t>
      </w:r>
    </w:p>
    <w:p w14:paraId="5A1F7DC1" w14:textId="77777777" w:rsidR="00DD57B9" w:rsidRDefault="00000000">
      <w:pPr>
        <w:pStyle w:val="ListBullet"/>
        <w:spacing w:after="20"/>
        <w:ind w:left="216"/>
      </w:pPr>
      <w:r>
        <w:rPr>
          <w:sz w:val="16"/>
        </w:rPr>
        <w:t>Victorian Government 2026, Docklands precinct, viewed 19 July 2026, https://www.vic.gov.au/docklands-precinct.</w:t>
      </w:r>
    </w:p>
    <w:p w14:paraId="05284642" w14:textId="77777777" w:rsidR="00DD57B9" w:rsidRDefault="00000000">
      <w:pPr>
        <w:pStyle w:val="ListBullet"/>
        <w:spacing w:after="20"/>
        <w:ind w:left="216"/>
      </w:pPr>
      <w:r>
        <w:rPr>
          <w:sz w:val="16"/>
        </w:rPr>
        <w:t>Transport Victoria 2026, Southern Cross Station map and travel information, viewed 19 July 2026, https://transport.vic.gov.au/plan-a-journey/network-maps/southern-cross-station-map-and-travel-information.</w:t>
      </w:r>
    </w:p>
    <w:p w14:paraId="751C1017" w14:textId="77777777" w:rsidR="00DD57B9" w:rsidRDefault="00000000">
      <w:pPr>
        <w:pStyle w:val="ListBullet"/>
        <w:spacing w:after="20"/>
        <w:ind w:left="216"/>
      </w:pPr>
      <w:r>
        <w:rPr>
          <w:sz w:val="16"/>
        </w:rPr>
        <w:t>Visit Victoria 2026, Carlton, viewed 19 July 2026, https://www.visitmelbourne.com/regions/melbourne/destinations/carlton.</w:t>
      </w:r>
    </w:p>
    <w:p w14:paraId="50A23273" w14:textId="77777777" w:rsidR="00DD57B9" w:rsidRDefault="00000000">
      <w:pPr>
        <w:pStyle w:val="ListBullet"/>
        <w:spacing w:after="20"/>
        <w:ind w:left="216"/>
      </w:pPr>
      <w:r>
        <w:rPr>
          <w:sz w:val="16"/>
        </w:rPr>
        <w:t>University of Melbourne 2026, Visitor and campus access information, viewed 19 July 2026, https://www.unimelb.edu.au/umac/your-visit.</w:t>
      </w:r>
    </w:p>
    <w:p w14:paraId="7976356C" w14:textId="77777777" w:rsidR="00DD57B9" w:rsidRDefault="00000000">
      <w:pPr>
        <w:pStyle w:val="ListBullet"/>
        <w:spacing w:after="20"/>
        <w:ind w:left="216"/>
      </w:pPr>
      <w:r>
        <w:rPr>
          <w:sz w:val="16"/>
        </w:rPr>
        <w:t>Zagame’s House 2026, Luxury boutique hotel and rooms, viewed 19 July 2026, https://www.zagameshouse.com.au/.</w:t>
      </w:r>
    </w:p>
    <w:p w14:paraId="46EC73A9" w14:textId="77777777" w:rsidR="00DD57B9" w:rsidRDefault="00000000">
      <w:pPr>
        <w:pStyle w:val="ListBullet"/>
        <w:spacing w:after="20"/>
        <w:ind w:left="216"/>
      </w:pPr>
      <w:r>
        <w:rPr>
          <w:sz w:val="16"/>
        </w:rPr>
        <w:t>Booking.com 2026, Zagame’s House guest reviews, viewed 19 July 2026, https://www.booking.com/hotel/au/zagame-39-s-house.html.</w:t>
      </w:r>
    </w:p>
    <w:p w14:paraId="781DE4F2" w14:textId="77777777" w:rsidR="00DD57B9" w:rsidRDefault="00000000">
      <w:pPr>
        <w:pStyle w:val="ListBullet"/>
        <w:spacing w:after="20"/>
        <w:ind w:left="216"/>
      </w:pPr>
      <w:r>
        <w:rPr>
          <w:sz w:val="16"/>
        </w:rPr>
        <w:t>IHG Hotels &amp; Resorts 2026, Crowne Plaza Melbourne Carlton, viewed 19 July 2026, https://www.ihg.com/crowneplaza/hotels/us/en/carlton/melcn/hoteldetail.</w:t>
      </w:r>
    </w:p>
    <w:p w14:paraId="2DE50DDA" w14:textId="77777777" w:rsidR="00DD57B9" w:rsidRDefault="00000000">
      <w:pPr>
        <w:pStyle w:val="ListBullet"/>
        <w:spacing w:after="20"/>
        <w:ind w:left="216"/>
      </w:pPr>
      <w:r>
        <w:rPr>
          <w:sz w:val="16"/>
        </w:rPr>
        <w:t>Expedia 2026, Crowne Plaza Melbourne Carlton indicative public rate, viewed 19 July 2026, https://www.expedia.com.au/Melbourne-Hotels-Crowne-Plaza-Melbourne-Carlton.h222.Hotel-Information.</w:t>
      </w:r>
    </w:p>
    <w:p w14:paraId="47513A70" w14:textId="77777777" w:rsidR="00DD57B9" w:rsidRDefault="00000000">
      <w:pPr>
        <w:pStyle w:val="ListBullet"/>
        <w:spacing w:after="20"/>
        <w:ind w:left="216"/>
      </w:pPr>
      <w:r>
        <w:rPr>
          <w:sz w:val="16"/>
        </w:rPr>
        <w:t>Hilton 2026, Hilton Melbourne Little Queen Street, viewed 19 July 2026, https://www.hilton.com/en/hotels/melamhi-hilton-melbourne-little-queen-street/.</w:t>
      </w:r>
    </w:p>
    <w:p w14:paraId="123BB727" w14:textId="77777777" w:rsidR="00DD57B9" w:rsidRDefault="00000000">
      <w:pPr>
        <w:pStyle w:val="ListBullet"/>
        <w:spacing w:after="20"/>
        <w:ind w:left="216"/>
      </w:pPr>
      <w:r>
        <w:rPr>
          <w:sz w:val="16"/>
        </w:rPr>
        <w:t>Marriott International 2026, W Melbourne, viewed 19 July 2026, https://www.marriott.com/en-us/hotels/melwh-w-melbourne/overview/.</w:t>
      </w:r>
    </w:p>
    <w:p w14:paraId="17EE0C31" w14:textId="77777777" w:rsidR="00DD57B9" w:rsidRDefault="00000000">
      <w:pPr>
        <w:pStyle w:val="ListBullet"/>
        <w:spacing w:after="20"/>
        <w:ind w:left="216"/>
      </w:pPr>
      <w:r>
        <w:rPr>
          <w:sz w:val="16"/>
        </w:rPr>
        <w:t>TFE Hotels 2026, Vibe Hotel Melbourne Docklands, viewed 19 July 2026, https://www.tfehotels.com/en/hotels/vibe-hotels/melbourne-docklands/.</w:t>
      </w:r>
    </w:p>
    <w:p w14:paraId="2256700C" w14:textId="77777777" w:rsidR="00DD57B9" w:rsidRDefault="00000000">
      <w:pPr>
        <w:pStyle w:val="ListBullet"/>
        <w:spacing w:after="20"/>
        <w:ind w:left="216"/>
      </w:pPr>
      <w:r>
        <w:rPr>
          <w:sz w:val="16"/>
        </w:rPr>
        <w:t>TFE Hotels 2026, Travelodge Hotel Melbourne Docklands, viewed 19 July 2026, https://www.tfehotels.com/en/hotels/travelodge-hotels/melbourne-docklands/.</w:t>
      </w:r>
    </w:p>
    <w:p w14:paraId="69153155" w14:textId="77777777" w:rsidR="00DD57B9" w:rsidRDefault="00000000">
      <w:pPr>
        <w:pStyle w:val="ListBullet"/>
      </w:pPr>
      <w:r>
        <w:t>Department of Transport and Planning 2026, Melbourne Planning Scheme, Docklands Zone Schedule 2 – Victoria Harbour Precinct, viewed 19 July 2026, https://planning-schemes.app.planning.vic.gov.au/Melbourne/ordinance/37.05-s2.</w:t>
      </w:r>
    </w:p>
    <w:p w14:paraId="6D1273D3" w14:textId="77777777" w:rsidR="00DD57B9" w:rsidRDefault="00000000">
      <w:pPr>
        <w:pStyle w:val="ListBullet"/>
      </w:pPr>
      <w:r>
        <w:t>City of Melbourne 2026, Melbourne Planning Scheme – do I need a permit?, viewed 19 July 2026, https://www.melbourne.vic.gov.au/melbourne-planning-scheme-do-i-need-permit.</w:t>
      </w:r>
    </w:p>
    <w:p w14:paraId="77F25FB5" w14:textId="77777777" w:rsidR="00DD57B9" w:rsidRDefault="00000000">
      <w:pPr>
        <w:pStyle w:val="ListBullet"/>
      </w:pPr>
      <w:r>
        <w:lastRenderedPageBreak/>
        <w:t>Development Victoria 2026, Search for development partner to transform Harbour Esplanade, viewed 19 July 2026, https://www.development.vic.gov.au/news/search-for-development-partner-to-transform-harbour-esplanade.</w:t>
      </w:r>
    </w:p>
    <w:p w14:paraId="284E9EE9" w14:textId="77777777" w:rsidR="00DD57B9" w:rsidRDefault="00000000">
      <w:pPr>
        <w:pStyle w:val="ListBullet"/>
      </w:pPr>
      <w:r>
        <w:t>Development Victoria 2024, NewQuay, viewed 19 July 2026, https://www.development.vic.gov.au/projects/docklands/newquay.</w:t>
      </w:r>
    </w:p>
    <w:sectPr w:rsidR="00DD57B9"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8C6F" w14:textId="77777777" w:rsidR="00347DD5" w:rsidRDefault="00347DD5">
      <w:pPr>
        <w:spacing w:after="0" w:line="240" w:lineRule="auto"/>
      </w:pPr>
      <w:r>
        <w:separator/>
      </w:r>
    </w:p>
  </w:endnote>
  <w:endnote w:type="continuationSeparator" w:id="0">
    <w:p w14:paraId="7A78F4DB" w14:textId="77777777" w:rsidR="00347DD5" w:rsidRDefault="00347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B678" w14:textId="77777777" w:rsidR="00DD57B9" w:rsidRDefault="00000000">
    <w:pPr>
      <w:pStyle w:val="Footer"/>
      <w:jc w:val="center"/>
    </w:pPr>
    <w:r>
      <w:rPr>
        <w:color w:val="757575"/>
        <w:sz w:val="16"/>
      </w:rPr>
      <w:t>Oakwood Melbourne Expansion Location Analysis | Preliminary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C9B26" w14:textId="77777777" w:rsidR="00347DD5" w:rsidRDefault="00347DD5">
      <w:pPr>
        <w:spacing w:after="0" w:line="240" w:lineRule="auto"/>
      </w:pPr>
      <w:r>
        <w:separator/>
      </w:r>
    </w:p>
  </w:footnote>
  <w:footnote w:type="continuationSeparator" w:id="0">
    <w:p w14:paraId="4E464FB8" w14:textId="77777777" w:rsidR="00347DD5" w:rsidRDefault="00347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292574">
    <w:abstractNumId w:val="8"/>
  </w:num>
  <w:num w:numId="2" w16cid:durableId="1213076352">
    <w:abstractNumId w:val="6"/>
  </w:num>
  <w:num w:numId="3" w16cid:durableId="417294852">
    <w:abstractNumId w:val="5"/>
  </w:num>
  <w:num w:numId="4" w16cid:durableId="1105030186">
    <w:abstractNumId w:val="4"/>
  </w:num>
  <w:num w:numId="5" w16cid:durableId="165824470">
    <w:abstractNumId w:val="7"/>
  </w:num>
  <w:num w:numId="6" w16cid:durableId="1909027656">
    <w:abstractNumId w:val="3"/>
  </w:num>
  <w:num w:numId="7" w16cid:durableId="180316026">
    <w:abstractNumId w:val="2"/>
  </w:num>
  <w:num w:numId="8" w16cid:durableId="1824543155">
    <w:abstractNumId w:val="1"/>
  </w:num>
  <w:num w:numId="9" w16cid:durableId="690954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0CF"/>
    <w:rsid w:val="0029639D"/>
    <w:rsid w:val="00326F90"/>
    <w:rsid w:val="00347DD5"/>
    <w:rsid w:val="006530BD"/>
    <w:rsid w:val="00AA1D8D"/>
    <w:rsid w:val="00B47730"/>
    <w:rsid w:val="00CB0664"/>
    <w:rsid w:val="00DD5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8B2FE8"/>
  <w14:defaultImageDpi w14:val="300"/>
  <w15:docId w15:val="{87DEF39C-183C-4F41-A07B-71BDB296D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3353</Words>
  <Characters>19117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 Lin</cp:lastModifiedBy>
  <cp:revision>2</cp:revision>
  <dcterms:created xsi:type="dcterms:W3CDTF">2013-12-23T23:15:00Z</dcterms:created>
  <dcterms:modified xsi:type="dcterms:W3CDTF">2026-07-19T05:42:00Z</dcterms:modified>
  <cp:category/>
</cp:coreProperties>
</file>