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9479" w14:textId="77777777" w:rsidR="00CF4BD9" w:rsidRDefault="006912A3">
      <w:pPr>
        <w:pStyle w:val="Title"/>
      </w:pPr>
      <w:r>
        <w:t>ADR-0001 — Implementation Language</w:t>
      </w:r>
    </w:p>
    <w:p w14:paraId="5B4AD513" w14:textId="77777777" w:rsidR="00CF4BD9" w:rsidRDefault="006912A3">
      <w:pPr>
        <w:pStyle w:val="Subtitle"/>
      </w:pPr>
      <w:r>
        <w:t>WAS-Poly-Repo Coordination Tool  •  Status: Accepted  •  29 August 2026</w:t>
      </w:r>
    </w:p>
    <w:p w14:paraId="60DD2220" w14:textId="77777777" w:rsidR="00CF4BD9" w:rsidRDefault="006912A3">
      <w:r>
        <w:t xml:space="preserve">Companion to the </w:t>
      </w:r>
      <w:r>
        <w:rPr>
          <w:b/>
        </w:rPr>
        <w:t>Problem Definition (v1)</w:t>
      </w:r>
      <w:r>
        <w:t xml:space="preserve"> and </w:t>
      </w:r>
      <w:r>
        <w:rPr>
          <w:b/>
        </w:rPr>
        <w:t>Solution Definition (v1)</w:t>
      </w:r>
      <w:r>
        <w:t>. This record covers only the choice of implementation language for the tool described in those documents.</w:t>
      </w:r>
    </w:p>
    <w:p w14:paraId="1E7318DE" w14:textId="77777777" w:rsidR="00CF4BD9" w:rsidRDefault="006912A3">
      <w:pPr>
        <w:pStyle w:val="TOCHeading"/>
      </w:pPr>
      <w:r>
        <w:t>Contents</w:t>
      </w:r>
    </w:p>
    <w:p w14:paraId="637CD15D" w14:textId="0AAF2D5B" w:rsidR="00A707E4" w:rsidRDefault="006912A3">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"1-2" \h \z \u </w:instrText>
      </w:r>
      <w:r>
        <w:fldChar w:fldCharType="separate"/>
      </w:r>
      <w:hyperlink w:anchor="_Toc238935550" w:history="1">
        <w:r w:rsidR="00A707E4" w:rsidRPr="003A65D3">
          <w:rPr>
            <w:rStyle w:val="Hyperlink"/>
            <w:noProof/>
          </w:rPr>
          <w:t>1. Status</w:t>
        </w:r>
        <w:r w:rsidR="00A707E4">
          <w:rPr>
            <w:noProof/>
            <w:webHidden/>
          </w:rPr>
          <w:tab/>
        </w:r>
        <w:r w:rsidR="00A707E4">
          <w:rPr>
            <w:noProof/>
            <w:webHidden/>
          </w:rPr>
          <w:fldChar w:fldCharType="begin"/>
        </w:r>
        <w:r w:rsidR="00A707E4">
          <w:rPr>
            <w:noProof/>
            <w:webHidden/>
          </w:rPr>
          <w:instrText xml:space="preserve"> PAGEREF _Toc238935550 \h </w:instrText>
        </w:r>
        <w:r w:rsidR="00A707E4">
          <w:rPr>
            <w:noProof/>
            <w:webHidden/>
          </w:rPr>
        </w:r>
        <w:r w:rsidR="00A707E4">
          <w:rPr>
            <w:noProof/>
            <w:webHidden/>
          </w:rPr>
          <w:fldChar w:fldCharType="separate"/>
        </w:r>
        <w:r w:rsidR="00A707E4">
          <w:rPr>
            <w:noProof/>
            <w:webHidden/>
          </w:rPr>
          <w:t>2</w:t>
        </w:r>
        <w:r w:rsidR="00A707E4">
          <w:rPr>
            <w:noProof/>
            <w:webHidden/>
          </w:rPr>
          <w:fldChar w:fldCharType="end"/>
        </w:r>
      </w:hyperlink>
    </w:p>
    <w:p w14:paraId="4678BBDE" w14:textId="29BDCF79" w:rsidR="00A707E4" w:rsidRDefault="00A707E4">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1" w:history="1">
        <w:r w:rsidRPr="003A65D3">
          <w:rPr>
            <w:rStyle w:val="Hyperlink"/>
            <w:noProof/>
          </w:rPr>
          <w:t>2. Context</w:t>
        </w:r>
        <w:r>
          <w:rPr>
            <w:noProof/>
            <w:webHidden/>
          </w:rPr>
          <w:tab/>
        </w:r>
        <w:r>
          <w:rPr>
            <w:noProof/>
            <w:webHidden/>
          </w:rPr>
          <w:fldChar w:fldCharType="begin"/>
        </w:r>
        <w:r>
          <w:rPr>
            <w:noProof/>
            <w:webHidden/>
          </w:rPr>
          <w:instrText xml:space="preserve"> PAGEREF _Toc238935551 \h </w:instrText>
        </w:r>
        <w:r>
          <w:rPr>
            <w:noProof/>
            <w:webHidden/>
          </w:rPr>
        </w:r>
        <w:r>
          <w:rPr>
            <w:noProof/>
            <w:webHidden/>
          </w:rPr>
          <w:fldChar w:fldCharType="separate"/>
        </w:r>
        <w:r>
          <w:rPr>
            <w:noProof/>
            <w:webHidden/>
          </w:rPr>
          <w:t>2</w:t>
        </w:r>
        <w:r>
          <w:rPr>
            <w:noProof/>
            <w:webHidden/>
          </w:rPr>
          <w:fldChar w:fldCharType="end"/>
        </w:r>
      </w:hyperlink>
    </w:p>
    <w:p w14:paraId="20CC20BF" w14:textId="67219E6F"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2" w:history="1">
        <w:r w:rsidRPr="003A65D3">
          <w:rPr>
            <w:rStyle w:val="Hyperlink"/>
            <w:noProof/>
          </w:rPr>
          <w:t>2.1 What was known at the time</w:t>
        </w:r>
        <w:r>
          <w:rPr>
            <w:noProof/>
            <w:webHidden/>
          </w:rPr>
          <w:tab/>
        </w:r>
        <w:r>
          <w:rPr>
            <w:noProof/>
            <w:webHidden/>
          </w:rPr>
          <w:fldChar w:fldCharType="begin"/>
        </w:r>
        <w:r>
          <w:rPr>
            <w:noProof/>
            <w:webHidden/>
          </w:rPr>
          <w:instrText xml:space="preserve"> PAGEREF _Toc238935552 \h </w:instrText>
        </w:r>
        <w:r>
          <w:rPr>
            <w:noProof/>
            <w:webHidden/>
          </w:rPr>
        </w:r>
        <w:r>
          <w:rPr>
            <w:noProof/>
            <w:webHidden/>
          </w:rPr>
          <w:fldChar w:fldCharType="separate"/>
        </w:r>
        <w:r>
          <w:rPr>
            <w:noProof/>
            <w:webHidden/>
          </w:rPr>
          <w:t>2</w:t>
        </w:r>
        <w:r>
          <w:rPr>
            <w:noProof/>
            <w:webHidden/>
          </w:rPr>
          <w:fldChar w:fldCharType="end"/>
        </w:r>
      </w:hyperlink>
    </w:p>
    <w:p w14:paraId="521104D8" w14:textId="072CFE08"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3" w:history="1">
        <w:r w:rsidRPr="003A65D3">
          <w:rPr>
            <w:rStyle w:val="Hyperlink"/>
            <w:noProof/>
          </w:rPr>
          <w:t>2.2 What the tool actually does</w:t>
        </w:r>
        <w:r>
          <w:rPr>
            <w:noProof/>
            <w:webHidden/>
          </w:rPr>
          <w:tab/>
        </w:r>
        <w:r>
          <w:rPr>
            <w:noProof/>
            <w:webHidden/>
          </w:rPr>
          <w:fldChar w:fldCharType="begin"/>
        </w:r>
        <w:r>
          <w:rPr>
            <w:noProof/>
            <w:webHidden/>
          </w:rPr>
          <w:instrText xml:space="preserve"> PAGEREF _Toc238935553 \h </w:instrText>
        </w:r>
        <w:r>
          <w:rPr>
            <w:noProof/>
            <w:webHidden/>
          </w:rPr>
        </w:r>
        <w:r>
          <w:rPr>
            <w:noProof/>
            <w:webHidden/>
          </w:rPr>
          <w:fldChar w:fldCharType="separate"/>
        </w:r>
        <w:r>
          <w:rPr>
            <w:noProof/>
            <w:webHidden/>
          </w:rPr>
          <w:t>2</w:t>
        </w:r>
        <w:r>
          <w:rPr>
            <w:noProof/>
            <w:webHidden/>
          </w:rPr>
          <w:fldChar w:fldCharType="end"/>
        </w:r>
      </w:hyperlink>
    </w:p>
    <w:p w14:paraId="71F3BAEB" w14:textId="598D4FA3"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4" w:history="1">
        <w:r w:rsidRPr="003A65D3">
          <w:rPr>
            <w:rStyle w:val="Hyperlink"/>
            <w:noProof/>
          </w:rPr>
          <w:t>2.3 Requirements that bear on the choice</w:t>
        </w:r>
        <w:r>
          <w:rPr>
            <w:noProof/>
            <w:webHidden/>
          </w:rPr>
          <w:tab/>
        </w:r>
        <w:r>
          <w:rPr>
            <w:noProof/>
            <w:webHidden/>
          </w:rPr>
          <w:fldChar w:fldCharType="begin"/>
        </w:r>
        <w:r>
          <w:rPr>
            <w:noProof/>
            <w:webHidden/>
          </w:rPr>
          <w:instrText xml:space="preserve"> PAGEREF _Toc238935554 \h </w:instrText>
        </w:r>
        <w:r>
          <w:rPr>
            <w:noProof/>
            <w:webHidden/>
          </w:rPr>
        </w:r>
        <w:r>
          <w:rPr>
            <w:noProof/>
            <w:webHidden/>
          </w:rPr>
          <w:fldChar w:fldCharType="separate"/>
        </w:r>
        <w:r>
          <w:rPr>
            <w:noProof/>
            <w:webHidden/>
          </w:rPr>
          <w:t>2</w:t>
        </w:r>
        <w:r>
          <w:rPr>
            <w:noProof/>
            <w:webHidden/>
          </w:rPr>
          <w:fldChar w:fldCharType="end"/>
        </w:r>
      </w:hyperlink>
    </w:p>
    <w:p w14:paraId="2E56AB27" w14:textId="15CE2CB9" w:rsidR="00A707E4" w:rsidRDefault="00A707E4">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5" w:history="1">
        <w:r w:rsidRPr="003A65D3">
          <w:rPr>
            <w:rStyle w:val="Hyperlink"/>
            <w:noProof/>
          </w:rPr>
          <w:t>3. Decision</w:t>
        </w:r>
        <w:r>
          <w:rPr>
            <w:noProof/>
            <w:webHidden/>
          </w:rPr>
          <w:tab/>
        </w:r>
        <w:r>
          <w:rPr>
            <w:noProof/>
            <w:webHidden/>
          </w:rPr>
          <w:fldChar w:fldCharType="begin"/>
        </w:r>
        <w:r>
          <w:rPr>
            <w:noProof/>
            <w:webHidden/>
          </w:rPr>
          <w:instrText xml:space="preserve"> PAGEREF _Toc238935555 \h </w:instrText>
        </w:r>
        <w:r>
          <w:rPr>
            <w:noProof/>
            <w:webHidden/>
          </w:rPr>
        </w:r>
        <w:r>
          <w:rPr>
            <w:noProof/>
            <w:webHidden/>
          </w:rPr>
          <w:fldChar w:fldCharType="separate"/>
        </w:r>
        <w:r>
          <w:rPr>
            <w:noProof/>
            <w:webHidden/>
          </w:rPr>
          <w:t>3</w:t>
        </w:r>
        <w:r>
          <w:rPr>
            <w:noProof/>
            <w:webHidden/>
          </w:rPr>
          <w:fldChar w:fldCharType="end"/>
        </w:r>
      </w:hyperlink>
    </w:p>
    <w:p w14:paraId="4DF0D2A8" w14:textId="2611E705" w:rsidR="00A707E4" w:rsidRDefault="00A707E4">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6" w:history="1">
        <w:r w:rsidRPr="003A65D3">
          <w:rPr>
            <w:rStyle w:val="Hyperlink"/>
            <w:noProof/>
          </w:rPr>
          <w:t>4. Rationale</w:t>
        </w:r>
        <w:r>
          <w:rPr>
            <w:noProof/>
            <w:webHidden/>
          </w:rPr>
          <w:tab/>
        </w:r>
        <w:r>
          <w:rPr>
            <w:noProof/>
            <w:webHidden/>
          </w:rPr>
          <w:fldChar w:fldCharType="begin"/>
        </w:r>
        <w:r>
          <w:rPr>
            <w:noProof/>
            <w:webHidden/>
          </w:rPr>
          <w:instrText xml:space="preserve"> PAGEREF _Toc238935556 \h </w:instrText>
        </w:r>
        <w:r>
          <w:rPr>
            <w:noProof/>
            <w:webHidden/>
          </w:rPr>
        </w:r>
        <w:r>
          <w:rPr>
            <w:noProof/>
            <w:webHidden/>
          </w:rPr>
          <w:fldChar w:fldCharType="separate"/>
        </w:r>
        <w:r>
          <w:rPr>
            <w:noProof/>
            <w:webHidden/>
          </w:rPr>
          <w:t>3</w:t>
        </w:r>
        <w:r>
          <w:rPr>
            <w:noProof/>
            <w:webHidden/>
          </w:rPr>
          <w:fldChar w:fldCharType="end"/>
        </w:r>
      </w:hyperlink>
    </w:p>
    <w:p w14:paraId="2ACE488E" w14:textId="6416245D"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7" w:history="1">
        <w:r w:rsidRPr="003A65D3">
          <w:rPr>
            <w:rStyle w:val="Hyperlink"/>
            <w:noProof/>
          </w:rPr>
          <w:t>4.1 The workload matches the language</w:t>
        </w:r>
        <w:r>
          <w:rPr>
            <w:noProof/>
            <w:webHidden/>
          </w:rPr>
          <w:tab/>
        </w:r>
        <w:r>
          <w:rPr>
            <w:noProof/>
            <w:webHidden/>
          </w:rPr>
          <w:fldChar w:fldCharType="begin"/>
        </w:r>
        <w:r>
          <w:rPr>
            <w:noProof/>
            <w:webHidden/>
          </w:rPr>
          <w:instrText xml:space="preserve"> PAGEREF _Toc238935557 \h </w:instrText>
        </w:r>
        <w:r>
          <w:rPr>
            <w:noProof/>
            <w:webHidden/>
          </w:rPr>
        </w:r>
        <w:r>
          <w:rPr>
            <w:noProof/>
            <w:webHidden/>
          </w:rPr>
          <w:fldChar w:fldCharType="separate"/>
        </w:r>
        <w:r>
          <w:rPr>
            <w:noProof/>
            <w:webHidden/>
          </w:rPr>
          <w:t>3</w:t>
        </w:r>
        <w:r>
          <w:rPr>
            <w:noProof/>
            <w:webHidden/>
          </w:rPr>
          <w:fldChar w:fldCharType="end"/>
        </w:r>
      </w:hyperlink>
    </w:p>
    <w:p w14:paraId="46C23B0A" w14:textId="390AC505"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8" w:history="1">
        <w:r w:rsidRPr="003A65D3">
          <w:rPr>
            <w:rStyle w:val="Hyperlink"/>
            <w:noProof/>
          </w:rPr>
          <w:t>4.2 Startup latency compounds</w:t>
        </w:r>
        <w:r>
          <w:rPr>
            <w:noProof/>
            <w:webHidden/>
          </w:rPr>
          <w:tab/>
        </w:r>
        <w:r>
          <w:rPr>
            <w:noProof/>
            <w:webHidden/>
          </w:rPr>
          <w:fldChar w:fldCharType="begin"/>
        </w:r>
        <w:r>
          <w:rPr>
            <w:noProof/>
            <w:webHidden/>
          </w:rPr>
          <w:instrText xml:space="preserve"> PAGEREF _Toc238935558 \h </w:instrText>
        </w:r>
        <w:r>
          <w:rPr>
            <w:noProof/>
            <w:webHidden/>
          </w:rPr>
        </w:r>
        <w:r>
          <w:rPr>
            <w:noProof/>
            <w:webHidden/>
          </w:rPr>
          <w:fldChar w:fldCharType="separate"/>
        </w:r>
        <w:r>
          <w:rPr>
            <w:noProof/>
            <w:webHidden/>
          </w:rPr>
          <w:t>3</w:t>
        </w:r>
        <w:r>
          <w:rPr>
            <w:noProof/>
            <w:webHidden/>
          </w:rPr>
          <w:fldChar w:fldCharType="end"/>
        </w:r>
      </w:hyperlink>
    </w:p>
    <w:p w14:paraId="245FC51A" w14:textId="2B05C877"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59" w:history="1">
        <w:r w:rsidRPr="003A65D3">
          <w:rPr>
            <w:rStyle w:val="Hyperlink"/>
            <w:noProof/>
          </w:rPr>
          <w:t>4.3 No build step, during the phase where the design is still moving</w:t>
        </w:r>
        <w:r>
          <w:rPr>
            <w:noProof/>
            <w:webHidden/>
          </w:rPr>
          <w:tab/>
        </w:r>
        <w:r>
          <w:rPr>
            <w:noProof/>
            <w:webHidden/>
          </w:rPr>
          <w:fldChar w:fldCharType="begin"/>
        </w:r>
        <w:r>
          <w:rPr>
            <w:noProof/>
            <w:webHidden/>
          </w:rPr>
          <w:instrText xml:space="preserve"> PAGEREF _Toc238935559 \h </w:instrText>
        </w:r>
        <w:r>
          <w:rPr>
            <w:noProof/>
            <w:webHidden/>
          </w:rPr>
        </w:r>
        <w:r>
          <w:rPr>
            <w:noProof/>
            <w:webHidden/>
          </w:rPr>
          <w:fldChar w:fldCharType="separate"/>
        </w:r>
        <w:r>
          <w:rPr>
            <w:noProof/>
            <w:webHidden/>
          </w:rPr>
          <w:t>3</w:t>
        </w:r>
        <w:r>
          <w:rPr>
            <w:noProof/>
            <w:webHidden/>
          </w:rPr>
          <w:fldChar w:fldCharType="end"/>
        </w:r>
      </w:hyperlink>
    </w:p>
    <w:p w14:paraId="09194174" w14:textId="44254475"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0" w:history="1">
        <w:r w:rsidRPr="003A65D3">
          <w:rPr>
            <w:rStyle w:val="Hyperlink"/>
            <w:noProof/>
          </w:rPr>
          <w:t>4.4 Zero dependencies is worth real money here</w:t>
        </w:r>
        <w:r>
          <w:rPr>
            <w:noProof/>
            <w:webHidden/>
          </w:rPr>
          <w:tab/>
        </w:r>
        <w:r>
          <w:rPr>
            <w:noProof/>
            <w:webHidden/>
          </w:rPr>
          <w:fldChar w:fldCharType="begin"/>
        </w:r>
        <w:r>
          <w:rPr>
            <w:noProof/>
            <w:webHidden/>
          </w:rPr>
          <w:instrText xml:space="preserve"> PAGEREF _Toc238935560 \h </w:instrText>
        </w:r>
        <w:r>
          <w:rPr>
            <w:noProof/>
            <w:webHidden/>
          </w:rPr>
        </w:r>
        <w:r>
          <w:rPr>
            <w:noProof/>
            <w:webHidden/>
          </w:rPr>
          <w:fldChar w:fldCharType="separate"/>
        </w:r>
        <w:r>
          <w:rPr>
            <w:noProof/>
            <w:webHidden/>
          </w:rPr>
          <w:t>4</w:t>
        </w:r>
        <w:r>
          <w:rPr>
            <w:noProof/>
            <w:webHidden/>
          </w:rPr>
          <w:fldChar w:fldCharType="end"/>
        </w:r>
      </w:hyperlink>
    </w:p>
    <w:p w14:paraId="28F0ABCD" w14:textId="37B8C48E"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1" w:history="1">
        <w:r w:rsidRPr="003A65D3">
          <w:rPr>
            <w:rStyle w:val="Hyperlink"/>
            <w:noProof/>
          </w:rPr>
          <w:t>4.5 Distribution is immediate</w:t>
        </w:r>
        <w:r>
          <w:rPr>
            <w:noProof/>
            <w:webHidden/>
          </w:rPr>
          <w:tab/>
        </w:r>
        <w:r>
          <w:rPr>
            <w:noProof/>
            <w:webHidden/>
          </w:rPr>
          <w:fldChar w:fldCharType="begin"/>
        </w:r>
        <w:r>
          <w:rPr>
            <w:noProof/>
            <w:webHidden/>
          </w:rPr>
          <w:instrText xml:space="preserve"> PAGEREF _Toc238935561 \h </w:instrText>
        </w:r>
        <w:r>
          <w:rPr>
            <w:noProof/>
            <w:webHidden/>
          </w:rPr>
        </w:r>
        <w:r>
          <w:rPr>
            <w:noProof/>
            <w:webHidden/>
          </w:rPr>
          <w:fldChar w:fldCharType="separate"/>
        </w:r>
        <w:r>
          <w:rPr>
            <w:noProof/>
            <w:webHidden/>
          </w:rPr>
          <w:t>4</w:t>
        </w:r>
        <w:r>
          <w:rPr>
            <w:noProof/>
            <w:webHidden/>
          </w:rPr>
          <w:fldChar w:fldCharType="end"/>
        </w:r>
      </w:hyperlink>
    </w:p>
    <w:p w14:paraId="33FB94D7" w14:textId="6C96839D" w:rsidR="00A707E4" w:rsidRDefault="00A707E4">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2" w:history="1">
        <w:r w:rsidRPr="003A65D3">
          <w:rPr>
            <w:rStyle w:val="Hyperlink"/>
            <w:noProof/>
          </w:rPr>
          <w:t>5. Consequences</w:t>
        </w:r>
        <w:r>
          <w:rPr>
            <w:noProof/>
            <w:webHidden/>
          </w:rPr>
          <w:tab/>
        </w:r>
        <w:r>
          <w:rPr>
            <w:noProof/>
            <w:webHidden/>
          </w:rPr>
          <w:fldChar w:fldCharType="begin"/>
        </w:r>
        <w:r>
          <w:rPr>
            <w:noProof/>
            <w:webHidden/>
          </w:rPr>
          <w:instrText xml:space="preserve"> PAGEREF _Toc238935562 \h </w:instrText>
        </w:r>
        <w:r>
          <w:rPr>
            <w:noProof/>
            <w:webHidden/>
          </w:rPr>
        </w:r>
        <w:r>
          <w:rPr>
            <w:noProof/>
            <w:webHidden/>
          </w:rPr>
          <w:fldChar w:fldCharType="separate"/>
        </w:r>
        <w:r>
          <w:rPr>
            <w:noProof/>
            <w:webHidden/>
          </w:rPr>
          <w:t>4</w:t>
        </w:r>
        <w:r>
          <w:rPr>
            <w:noProof/>
            <w:webHidden/>
          </w:rPr>
          <w:fldChar w:fldCharType="end"/>
        </w:r>
      </w:hyperlink>
    </w:p>
    <w:p w14:paraId="5589CCE1" w14:textId="7C3B561A"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3" w:history="1">
        <w:r w:rsidRPr="003A65D3">
          <w:rPr>
            <w:rStyle w:val="Hyperlink"/>
            <w:noProof/>
          </w:rPr>
          <w:t>5.1 Accepted costs</w:t>
        </w:r>
        <w:r>
          <w:rPr>
            <w:noProof/>
            <w:webHidden/>
          </w:rPr>
          <w:tab/>
        </w:r>
        <w:r>
          <w:rPr>
            <w:noProof/>
            <w:webHidden/>
          </w:rPr>
          <w:fldChar w:fldCharType="begin"/>
        </w:r>
        <w:r>
          <w:rPr>
            <w:noProof/>
            <w:webHidden/>
          </w:rPr>
          <w:instrText xml:space="preserve"> PAGEREF _Toc238935563 \h </w:instrText>
        </w:r>
        <w:r>
          <w:rPr>
            <w:noProof/>
            <w:webHidden/>
          </w:rPr>
        </w:r>
        <w:r>
          <w:rPr>
            <w:noProof/>
            <w:webHidden/>
          </w:rPr>
          <w:fldChar w:fldCharType="separate"/>
        </w:r>
        <w:r>
          <w:rPr>
            <w:noProof/>
            <w:webHidden/>
          </w:rPr>
          <w:t>4</w:t>
        </w:r>
        <w:r>
          <w:rPr>
            <w:noProof/>
            <w:webHidden/>
          </w:rPr>
          <w:fldChar w:fldCharType="end"/>
        </w:r>
      </w:hyperlink>
    </w:p>
    <w:p w14:paraId="2285A63D" w14:textId="7289E96F" w:rsidR="00A707E4" w:rsidRDefault="00A707E4">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4" w:history="1">
        <w:r w:rsidRPr="003A65D3">
          <w:rPr>
            <w:rStyle w:val="Hyperlink"/>
            <w:noProof/>
          </w:rPr>
          <w:t>5.2 Benefits realised</w:t>
        </w:r>
        <w:r>
          <w:rPr>
            <w:noProof/>
            <w:webHidden/>
          </w:rPr>
          <w:tab/>
        </w:r>
        <w:r>
          <w:rPr>
            <w:noProof/>
            <w:webHidden/>
          </w:rPr>
          <w:fldChar w:fldCharType="begin"/>
        </w:r>
        <w:r>
          <w:rPr>
            <w:noProof/>
            <w:webHidden/>
          </w:rPr>
          <w:instrText xml:space="preserve"> PAGEREF _Toc238935564 \h </w:instrText>
        </w:r>
        <w:r>
          <w:rPr>
            <w:noProof/>
            <w:webHidden/>
          </w:rPr>
        </w:r>
        <w:r>
          <w:rPr>
            <w:noProof/>
            <w:webHidden/>
          </w:rPr>
          <w:fldChar w:fldCharType="separate"/>
        </w:r>
        <w:r>
          <w:rPr>
            <w:noProof/>
            <w:webHidden/>
          </w:rPr>
          <w:t>4</w:t>
        </w:r>
        <w:r>
          <w:rPr>
            <w:noProof/>
            <w:webHidden/>
          </w:rPr>
          <w:fldChar w:fldCharType="end"/>
        </w:r>
      </w:hyperlink>
    </w:p>
    <w:p w14:paraId="7C47251C" w14:textId="70F5FB18" w:rsidR="00A707E4" w:rsidRDefault="00A707E4">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5" w:history="1">
        <w:r w:rsidRPr="003A65D3">
          <w:rPr>
            <w:rStyle w:val="Hyperlink"/>
            <w:noProof/>
          </w:rPr>
          <w:t>6. Alternatives considered</w:t>
        </w:r>
        <w:r>
          <w:rPr>
            <w:noProof/>
            <w:webHidden/>
          </w:rPr>
          <w:tab/>
        </w:r>
        <w:r>
          <w:rPr>
            <w:noProof/>
            <w:webHidden/>
          </w:rPr>
          <w:fldChar w:fldCharType="begin"/>
        </w:r>
        <w:r>
          <w:rPr>
            <w:noProof/>
            <w:webHidden/>
          </w:rPr>
          <w:instrText xml:space="preserve"> PAGEREF _Toc238935565 \h </w:instrText>
        </w:r>
        <w:r>
          <w:rPr>
            <w:noProof/>
            <w:webHidden/>
          </w:rPr>
        </w:r>
        <w:r>
          <w:rPr>
            <w:noProof/>
            <w:webHidden/>
          </w:rPr>
          <w:fldChar w:fldCharType="separate"/>
        </w:r>
        <w:r>
          <w:rPr>
            <w:noProof/>
            <w:webHidden/>
          </w:rPr>
          <w:t>5</w:t>
        </w:r>
        <w:r>
          <w:rPr>
            <w:noProof/>
            <w:webHidden/>
          </w:rPr>
          <w:fldChar w:fldCharType="end"/>
        </w:r>
      </w:hyperlink>
    </w:p>
    <w:p w14:paraId="506790CB" w14:textId="776F1819" w:rsidR="00A707E4" w:rsidRDefault="00A707E4">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6" w:history="1">
        <w:r w:rsidRPr="003A65D3">
          <w:rPr>
            <w:rStyle w:val="Hyperlink"/>
            <w:noProof/>
          </w:rPr>
          <w:t>7. When to revisit</w:t>
        </w:r>
        <w:r>
          <w:rPr>
            <w:noProof/>
            <w:webHidden/>
          </w:rPr>
          <w:tab/>
        </w:r>
        <w:r>
          <w:rPr>
            <w:noProof/>
            <w:webHidden/>
          </w:rPr>
          <w:fldChar w:fldCharType="begin"/>
        </w:r>
        <w:r>
          <w:rPr>
            <w:noProof/>
            <w:webHidden/>
          </w:rPr>
          <w:instrText xml:space="preserve"> PAGEREF _Toc238935566 \h </w:instrText>
        </w:r>
        <w:r>
          <w:rPr>
            <w:noProof/>
            <w:webHidden/>
          </w:rPr>
        </w:r>
        <w:r>
          <w:rPr>
            <w:noProof/>
            <w:webHidden/>
          </w:rPr>
          <w:fldChar w:fldCharType="separate"/>
        </w:r>
        <w:r>
          <w:rPr>
            <w:noProof/>
            <w:webHidden/>
          </w:rPr>
          <w:t>5</w:t>
        </w:r>
        <w:r>
          <w:rPr>
            <w:noProof/>
            <w:webHidden/>
          </w:rPr>
          <w:fldChar w:fldCharType="end"/>
        </w:r>
      </w:hyperlink>
    </w:p>
    <w:p w14:paraId="302A8BB2" w14:textId="1B824AFF" w:rsidR="00A707E4" w:rsidRDefault="00A707E4">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7" w:history="1">
        <w:r w:rsidRPr="003A65D3">
          <w:rPr>
            <w:rStyle w:val="Hyperlink"/>
            <w:noProof/>
          </w:rPr>
          <w:t>8. Cost of reversal</w:t>
        </w:r>
        <w:r>
          <w:rPr>
            <w:noProof/>
            <w:webHidden/>
          </w:rPr>
          <w:tab/>
        </w:r>
        <w:r>
          <w:rPr>
            <w:noProof/>
            <w:webHidden/>
          </w:rPr>
          <w:fldChar w:fldCharType="begin"/>
        </w:r>
        <w:r>
          <w:rPr>
            <w:noProof/>
            <w:webHidden/>
          </w:rPr>
          <w:instrText xml:space="preserve"> PAGEREF _Toc238935567 \h </w:instrText>
        </w:r>
        <w:r>
          <w:rPr>
            <w:noProof/>
            <w:webHidden/>
          </w:rPr>
        </w:r>
        <w:r>
          <w:rPr>
            <w:noProof/>
            <w:webHidden/>
          </w:rPr>
          <w:fldChar w:fldCharType="separate"/>
        </w:r>
        <w:r>
          <w:rPr>
            <w:noProof/>
            <w:webHidden/>
          </w:rPr>
          <w:t>6</w:t>
        </w:r>
        <w:r>
          <w:rPr>
            <w:noProof/>
            <w:webHidden/>
          </w:rPr>
          <w:fldChar w:fldCharType="end"/>
        </w:r>
      </w:hyperlink>
    </w:p>
    <w:p w14:paraId="6B3DFE3C" w14:textId="0CCCB41B" w:rsidR="00A707E4" w:rsidRDefault="00A707E4">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35568" w:history="1">
        <w:r w:rsidRPr="003A65D3">
          <w:rPr>
            <w:rStyle w:val="Hyperlink"/>
            <w:noProof/>
          </w:rPr>
          <w:t>9. Notes</w:t>
        </w:r>
        <w:r>
          <w:rPr>
            <w:noProof/>
            <w:webHidden/>
          </w:rPr>
          <w:tab/>
        </w:r>
        <w:r>
          <w:rPr>
            <w:noProof/>
            <w:webHidden/>
          </w:rPr>
          <w:fldChar w:fldCharType="begin"/>
        </w:r>
        <w:r>
          <w:rPr>
            <w:noProof/>
            <w:webHidden/>
          </w:rPr>
          <w:instrText xml:space="preserve"> PAGEREF _Toc238935568 \h </w:instrText>
        </w:r>
        <w:r>
          <w:rPr>
            <w:noProof/>
            <w:webHidden/>
          </w:rPr>
        </w:r>
        <w:r>
          <w:rPr>
            <w:noProof/>
            <w:webHidden/>
          </w:rPr>
          <w:fldChar w:fldCharType="separate"/>
        </w:r>
        <w:r>
          <w:rPr>
            <w:noProof/>
            <w:webHidden/>
          </w:rPr>
          <w:t>6</w:t>
        </w:r>
        <w:r>
          <w:rPr>
            <w:noProof/>
            <w:webHidden/>
          </w:rPr>
          <w:fldChar w:fldCharType="end"/>
        </w:r>
      </w:hyperlink>
    </w:p>
    <w:p w14:paraId="3E44CD39" w14:textId="444F2414" w:rsidR="00CF4BD9" w:rsidRDefault="006912A3">
      <w:pPr>
        <w:tabs>
          <w:tab w:val="right" w:leader="dot" w:pos="9639"/>
        </w:tabs>
      </w:pPr>
      <w:r>
        <w:fldChar w:fldCharType="end"/>
      </w:r>
    </w:p>
    <w:p w14:paraId="7081E4E3" w14:textId="77777777" w:rsidR="00CF4BD9" w:rsidRDefault="006912A3">
      <w:pPr>
        <w:spacing w:after="0"/>
      </w:pPr>
      <w:r>
        <w:br w:type="page"/>
      </w:r>
    </w:p>
    <w:p w14:paraId="4236C8DC" w14:textId="77777777" w:rsidR="00CF4BD9" w:rsidRDefault="006912A3">
      <w:pPr>
        <w:pStyle w:val="Heading1"/>
      </w:pPr>
      <w:bookmarkStart w:id="0" w:name="_Toc238935550"/>
      <w:r>
        <w:lastRenderedPageBreak/>
        <w:t>1. Status</w:t>
      </w:r>
      <w:bookmarkEnd w:id="0"/>
    </w:p>
    <w:p w14:paraId="4AC46515" w14:textId="77777777" w:rsidR="00CF4BD9" w:rsidRDefault="006912A3">
      <w:pPr>
        <w:pStyle w:val="Callout"/>
      </w:pPr>
      <w:r>
        <w:rPr>
          <w:b/>
        </w:rPr>
        <w:t>Accepted</w:t>
      </w:r>
      <w:r>
        <w:t xml:space="preserve"> for Phases 1–3. Scheduled for review before Phase 5 (the saga coordinator), which is the point at which the constraints genuinely change. Revisit triggers are listed in §6.</w:t>
      </w:r>
    </w:p>
    <w:p w14:paraId="6B66A334" w14:textId="77777777" w:rsidR="00CF4BD9" w:rsidRDefault="006912A3">
      <w:pPr>
        <w:pStyle w:val="Heading1"/>
      </w:pPr>
      <w:bookmarkStart w:id="1" w:name="_Toc238935551"/>
      <w:r>
        <w:t>2. Context</w:t>
      </w:r>
      <w:bookmarkEnd w:id="1"/>
    </w:p>
    <w:p w14:paraId="5B8FF428" w14:textId="77777777" w:rsidR="00CF4BD9" w:rsidRDefault="006912A3">
      <w:pPr>
        <w:pStyle w:val="Heading2"/>
      </w:pPr>
      <w:bookmarkStart w:id="2" w:name="_Toc238935552"/>
      <w:r>
        <w:t>2.1 What was known at the time</w:t>
      </w:r>
      <w:bookmarkEnd w:id="2"/>
    </w:p>
    <w:p w14:paraId="3C967C85" w14:textId="77777777" w:rsidR="00CF4BD9" w:rsidRDefault="006912A3">
      <w:pPr>
        <w:pStyle w:val="ListParagraph"/>
        <w:numPr>
          <w:ilvl w:val="0"/>
          <w:numId w:val="1"/>
        </w:numPr>
        <w:spacing w:after="80"/>
      </w:pPr>
      <w:r>
        <w:t>The repository was greenfield — nothing existed except the two specification documents. No existing code constrained the choice.</w:t>
      </w:r>
    </w:p>
    <w:p w14:paraId="7433D9EC" w14:textId="77777777" w:rsidR="00CF4BD9" w:rsidRDefault="006912A3">
      <w:pPr>
        <w:pStyle w:val="ListParagraph"/>
        <w:numPr>
          <w:ilvl w:val="0"/>
          <w:numId w:val="1"/>
        </w:numPr>
        <w:spacing w:after="80"/>
      </w:pPr>
      <w:r>
        <w:rPr>
          <w:b/>
        </w:rPr>
        <w:t>There is no house language.</w:t>
      </w:r>
      <w:r>
        <w:t xml:space="preserve"> Sibling projects in the same organisation use four different stacks: </w:t>
      </w:r>
      <w:r>
        <w:rPr>
          <w:rFonts w:ascii="Consolas" w:hAnsi="Consolas"/>
          <w:sz w:val="19"/>
          <w:shd w:val="clear" w:color="auto" w:fill="F2F2F2"/>
        </w:rPr>
        <w:t>waspos-front</w:t>
      </w:r>
      <w:r>
        <w:t xml:space="preserve"> (Node), </w:t>
      </w:r>
      <w:r>
        <w:rPr>
          <w:rFonts w:ascii="Consolas" w:hAnsi="Consolas"/>
          <w:sz w:val="19"/>
          <w:shd w:val="clear" w:color="auto" w:fill="F2F2F2"/>
        </w:rPr>
        <w:t>density_calc</w:t>
      </w:r>
      <w:r>
        <w:t xml:space="preserve"> (Kotlin/Android), </w:t>
      </w:r>
      <w:r>
        <w:rPr>
          <w:rFonts w:ascii="Consolas" w:hAnsi="Consolas"/>
          <w:sz w:val="19"/>
          <w:shd w:val="clear" w:color="auto" w:fill="F2F2F2"/>
        </w:rPr>
        <w:t>trading-bot</w:t>
      </w:r>
      <w:r>
        <w:t xml:space="preserve"> (Python), </w:t>
      </w:r>
      <w:r>
        <w:rPr>
          <w:rFonts w:ascii="Consolas" w:hAnsi="Consolas"/>
          <w:sz w:val="19"/>
          <w:shd w:val="clear" w:color="auto" w:fill="F2F2F2"/>
        </w:rPr>
        <w:t>work-tracker</w:t>
      </w:r>
      <w:r>
        <w:t xml:space="preserve"> (Rust). None of them establishes a convention this tool should follow.</w:t>
      </w:r>
    </w:p>
    <w:p w14:paraId="043C2A40" w14:textId="77777777" w:rsidR="00CF4BD9" w:rsidRDefault="006912A3">
      <w:pPr>
        <w:pStyle w:val="ListParagraph"/>
        <w:numPr>
          <w:ilvl w:val="0"/>
          <w:numId w:val="1"/>
        </w:numPr>
        <w:spacing w:after="80"/>
      </w:pPr>
      <w:r>
        <w:t>The development machine already had Node 24 with npm 11, and Amazon Corretto 21 with Maven 3.9, both on PATH. Either was immediately viable; neither required setup work.</w:t>
      </w:r>
    </w:p>
    <w:p w14:paraId="132D81F0" w14:textId="77777777" w:rsidR="00CF4BD9" w:rsidRDefault="006912A3">
      <w:pPr>
        <w:pStyle w:val="ListParagraph"/>
        <w:numPr>
          <w:ilvl w:val="0"/>
          <w:numId w:val="1"/>
        </w:numPr>
        <w:spacing w:after="80"/>
      </w:pPr>
      <w:r>
        <w:t>The target platform for development is Windows; CI is expected to be Linux. Both are first-class for every candidate considered.</w:t>
      </w:r>
    </w:p>
    <w:p w14:paraId="53DE9FDD" w14:textId="77777777" w:rsidR="00CF4BD9" w:rsidRDefault="006912A3">
      <w:pPr>
        <w:pStyle w:val="Heading2"/>
      </w:pPr>
      <w:bookmarkStart w:id="3" w:name="_Toc238935553"/>
      <w:r>
        <w:t>2.2 What the tool actually does</w:t>
      </w:r>
      <w:bookmarkEnd w:id="3"/>
    </w:p>
    <w:p w14:paraId="1EA7CCA9" w14:textId="77777777" w:rsidR="00CF4BD9" w:rsidRDefault="006912A3">
      <w:r>
        <w:t>This is the decisive fact. Measured across the Phase 1 implementation, the work is almost entirely one shape:</w:t>
      </w:r>
    </w:p>
    <w:p w14:paraId="26632E09" w14:textId="77777777" w:rsidR="00CF4BD9" w:rsidRDefault="006912A3">
      <w:pPr>
        <w:pStyle w:val="ListParagraph"/>
        <w:numPr>
          <w:ilvl w:val="0"/>
          <w:numId w:val="1"/>
        </w:numPr>
        <w:spacing w:after="80"/>
      </w:pPr>
      <w:r>
        <w:rPr>
          <w:b/>
        </w:rPr>
        <w:t>Subprocess orchestration</w:t>
      </w:r>
      <w:r>
        <w:t xml:space="preserve"> — invoke </w:t>
      </w:r>
      <w:r>
        <w:rPr>
          <w:rFonts w:ascii="Consolas" w:hAnsi="Consolas"/>
          <w:sz w:val="19"/>
          <w:shd w:val="clear" w:color="auto" w:fill="F2F2F2"/>
        </w:rPr>
        <w:t>git</w:t>
      </w:r>
      <w:r>
        <w:t>, capture stdout, interpret exit codes.</w:t>
      </w:r>
    </w:p>
    <w:p w14:paraId="45E9E36A" w14:textId="77777777" w:rsidR="00CF4BD9" w:rsidRDefault="006912A3">
      <w:pPr>
        <w:pStyle w:val="ListParagraph"/>
        <w:numPr>
          <w:ilvl w:val="0"/>
          <w:numId w:val="1"/>
        </w:numPr>
        <w:spacing w:after="80"/>
      </w:pPr>
      <w:r>
        <w:rPr>
          <w:b/>
        </w:rPr>
        <w:t>Text parsing</w:t>
      </w:r>
      <w:r>
        <w:t xml:space="preserve"> — porcelain status output, </w:t>
      </w:r>
      <w:r>
        <w:rPr>
          <w:rFonts w:ascii="Consolas" w:hAnsi="Consolas"/>
          <w:sz w:val="19"/>
          <w:shd w:val="clear" w:color="auto" w:fill="F2F2F2"/>
        </w:rPr>
        <w:t>ls-tree</w:t>
      </w:r>
      <w:r>
        <w:t xml:space="preserve"> entries, </w:t>
      </w:r>
      <w:r>
        <w:rPr>
          <w:rFonts w:ascii="Consolas" w:hAnsi="Consolas"/>
          <w:sz w:val="19"/>
          <w:shd w:val="clear" w:color="auto" w:fill="F2F2F2"/>
        </w:rPr>
        <w:t>for-each-ref</w:t>
      </w:r>
      <w:r>
        <w:t xml:space="preserve"> output, </w:t>
      </w:r>
      <w:r>
        <w:rPr>
          <w:rFonts w:ascii="Consolas" w:hAnsi="Consolas"/>
          <w:sz w:val="19"/>
          <w:shd w:val="clear" w:color="auto" w:fill="F2F2F2"/>
        </w:rPr>
        <w:t>.gitmodules</w:t>
      </w:r>
      <w:r>
        <w:t xml:space="preserve"> config.</w:t>
      </w:r>
    </w:p>
    <w:p w14:paraId="38C632AC" w14:textId="77777777" w:rsidR="00CF4BD9" w:rsidRDefault="006912A3">
      <w:pPr>
        <w:pStyle w:val="ListParagraph"/>
        <w:numPr>
          <w:ilvl w:val="0"/>
          <w:numId w:val="1"/>
        </w:numPr>
        <w:spacing w:after="80"/>
      </w:pPr>
      <w:r>
        <w:rPr>
          <w:b/>
        </w:rPr>
        <w:t>Terminal formatting</w:t>
      </w:r>
      <w:r>
        <w:t xml:space="preserve"> — aligned tables, colour, symbols.</w:t>
      </w:r>
    </w:p>
    <w:p w14:paraId="2692D02B" w14:textId="77777777" w:rsidR="00CF4BD9" w:rsidRDefault="006912A3">
      <w:r>
        <w:t>There is no CPU-bound work, no concurrency to coordinate, and no rich domain model. The genuinely hard part of this tool is knowing *which git plumbing command safely answers which question* — and that knowledge is identical in every language. The language contributes very little to the part that is difficult.</w:t>
      </w:r>
    </w:p>
    <w:p w14:paraId="6948D9BC" w14:textId="77777777" w:rsidR="00CF4BD9" w:rsidRDefault="006912A3">
      <w:pPr>
        <w:pStyle w:val="Heading2"/>
      </w:pPr>
      <w:bookmarkStart w:id="4" w:name="_Toc238935554"/>
      <w:r>
        <w:t>2.3 Requirements that bear on the choice</w:t>
      </w:r>
      <w:bookmarkEnd w:id="4"/>
    </w:p>
    <w:tbl>
      <w:tblPr>
        <w:tblW w:w="92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10" w:type="dxa"/>
          <w:bottom w:w="60" w:type="dxa"/>
          <w:right w:w="110" w:type="dxa"/>
        </w:tblCellMar>
        <w:tblLook w:val="04A0" w:firstRow="1" w:lastRow="0" w:firstColumn="1" w:lastColumn="0" w:noHBand="0" w:noVBand="1"/>
      </w:tblPr>
      <w:tblGrid>
        <w:gridCol w:w="1700"/>
        <w:gridCol w:w="4100"/>
        <w:gridCol w:w="3480"/>
      </w:tblGrid>
      <w:tr w:rsidR="00CF4BD9" w14:paraId="06689AA0" w14:textId="77777777">
        <w:trPr>
          <w:cantSplit/>
          <w:tblHeader/>
        </w:trPr>
        <w:tc>
          <w:tcPr>
            <w:tcW w:w="1700" w:type="dxa"/>
            <w:shd w:val="clear" w:color="auto" w:fill="1F3864"/>
            <w:vAlign w:val="center"/>
          </w:tcPr>
          <w:p w14:paraId="2AD5F284" w14:textId="77777777" w:rsidR="00CF4BD9" w:rsidRDefault="006912A3">
            <w:pPr>
              <w:spacing w:before="50" w:after="50" w:line="240" w:lineRule="auto"/>
            </w:pPr>
            <w:r>
              <w:rPr>
                <w:b/>
                <w:color w:val="FFFFFF"/>
                <w:sz w:val="21"/>
              </w:rPr>
              <w:t>Source</w:t>
            </w:r>
          </w:p>
        </w:tc>
        <w:tc>
          <w:tcPr>
            <w:tcW w:w="4100" w:type="dxa"/>
            <w:shd w:val="clear" w:color="auto" w:fill="1F3864"/>
            <w:vAlign w:val="center"/>
          </w:tcPr>
          <w:p w14:paraId="6CC57709" w14:textId="77777777" w:rsidR="00CF4BD9" w:rsidRDefault="006912A3">
            <w:pPr>
              <w:spacing w:before="50" w:after="50" w:line="240" w:lineRule="auto"/>
            </w:pPr>
            <w:r>
              <w:rPr>
                <w:b/>
                <w:color w:val="FFFFFF"/>
                <w:sz w:val="21"/>
              </w:rPr>
              <w:t>Requirement</w:t>
            </w:r>
          </w:p>
        </w:tc>
        <w:tc>
          <w:tcPr>
            <w:tcW w:w="3480" w:type="dxa"/>
            <w:shd w:val="clear" w:color="auto" w:fill="1F3864"/>
            <w:vAlign w:val="center"/>
          </w:tcPr>
          <w:p w14:paraId="6E74803D" w14:textId="77777777" w:rsidR="00CF4BD9" w:rsidRDefault="006912A3">
            <w:pPr>
              <w:spacing w:before="50" w:after="50" w:line="240" w:lineRule="auto"/>
            </w:pPr>
            <w:r>
              <w:rPr>
                <w:b/>
                <w:color w:val="FFFFFF"/>
                <w:sz w:val="21"/>
              </w:rPr>
              <w:t>Pressure it applies</w:t>
            </w:r>
          </w:p>
        </w:tc>
      </w:tr>
      <w:tr w:rsidR="00CF4BD9" w14:paraId="0DA2DBDC" w14:textId="77777777">
        <w:trPr>
          <w:cantSplit/>
        </w:trPr>
        <w:tc>
          <w:tcPr>
            <w:tcW w:w="1700" w:type="dxa"/>
            <w:vAlign w:val="center"/>
          </w:tcPr>
          <w:p w14:paraId="7600A657" w14:textId="77777777" w:rsidR="00CF4BD9" w:rsidRDefault="006912A3">
            <w:pPr>
              <w:spacing w:before="50" w:after="50" w:line="240" w:lineRule="auto"/>
            </w:pPr>
            <w:r>
              <w:rPr>
                <w:sz w:val="21"/>
              </w:rPr>
              <w:t>Solution §2.2 (L2)</w:t>
            </w:r>
          </w:p>
        </w:tc>
        <w:tc>
          <w:tcPr>
            <w:tcW w:w="4100" w:type="dxa"/>
            <w:vAlign w:val="center"/>
          </w:tcPr>
          <w:p w14:paraId="11FA5CFB" w14:textId="77777777" w:rsidR="00CF4BD9" w:rsidRDefault="006912A3">
            <w:pPr>
              <w:spacing w:before="50" w:after="50" w:line="240" w:lineRule="auto"/>
            </w:pPr>
            <w:r>
              <w:rPr>
                <w:sz w:val="21"/>
              </w:rPr>
              <w:t>The policy engine is "shipped as one binary and run in three places" — pre-commit hook, CI check, coordinator precondition.</w:t>
            </w:r>
          </w:p>
        </w:tc>
        <w:tc>
          <w:tcPr>
            <w:tcW w:w="3480" w:type="dxa"/>
            <w:vAlign w:val="center"/>
          </w:tcPr>
          <w:p w14:paraId="4CCDC8F2" w14:textId="77777777" w:rsidR="00CF4BD9" w:rsidRDefault="006912A3">
            <w:pPr>
              <w:spacing w:before="50" w:after="50" w:line="240" w:lineRule="auto"/>
            </w:pPr>
            <w:r>
              <w:rPr>
                <w:sz w:val="21"/>
              </w:rPr>
              <w:t>Toward a compiled language producing a single self-contained file.</w:t>
            </w:r>
          </w:p>
        </w:tc>
      </w:tr>
      <w:tr w:rsidR="00CF4BD9" w14:paraId="13C0961F" w14:textId="77777777">
        <w:trPr>
          <w:cantSplit/>
        </w:trPr>
        <w:tc>
          <w:tcPr>
            <w:tcW w:w="1700" w:type="dxa"/>
            <w:shd w:val="clear" w:color="auto" w:fill="F3F6FB"/>
            <w:vAlign w:val="center"/>
          </w:tcPr>
          <w:p w14:paraId="3BD948A2" w14:textId="77777777" w:rsidR="00CF4BD9" w:rsidRDefault="006912A3">
            <w:pPr>
              <w:spacing w:before="50" w:after="50" w:line="240" w:lineRule="auto"/>
            </w:pPr>
            <w:r>
              <w:rPr>
                <w:sz w:val="21"/>
              </w:rPr>
              <w:t>Solution §4, row 30</w:t>
            </w:r>
          </w:p>
        </w:tc>
        <w:tc>
          <w:tcPr>
            <w:tcW w:w="4100" w:type="dxa"/>
            <w:shd w:val="clear" w:color="auto" w:fill="F3F6FB"/>
            <w:vAlign w:val="center"/>
          </w:tcPr>
          <w:p w14:paraId="19C45428" w14:textId="77777777" w:rsidR="00CF4BD9" w:rsidRDefault="006912A3">
            <w:pPr>
              <w:spacing w:before="50" w:after="50" w:line="240" w:lineRule="auto"/>
            </w:pPr>
            <w:r>
              <w:rPr>
                <w:sz w:val="21"/>
              </w:rPr>
              <w:t>Air-gapped and self-hosted environments must be supported; no dependency on hosted-only features in the safety path.</w:t>
            </w:r>
          </w:p>
        </w:tc>
        <w:tc>
          <w:tcPr>
            <w:tcW w:w="3480" w:type="dxa"/>
            <w:shd w:val="clear" w:color="auto" w:fill="F3F6FB"/>
            <w:vAlign w:val="center"/>
          </w:tcPr>
          <w:p w14:paraId="1BDD4C30" w14:textId="77777777" w:rsidR="00CF4BD9" w:rsidRDefault="006912A3">
            <w:pPr>
              <w:spacing w:before="50" w:after="50" w:line="240" w:lineRule="auto"/>
            </w:pPr>
            <w:r>
              <w:rPr>
                <w:sz w:val="21"/>
              </w:rPr>
              <w:t>Toward a runtime-free binary; "install Node first" is friction in an air-gapped image.</w:t>
            </w:r>
          </w:p>
        </w:tc>
      </w:tr>
      <w:tr w:rsidR="00CF4BD9" w14:paraId="0A69C92B" w14:textId="77777777">
        <w:trPr>
          <w:cantSplit/>
        </w:trPr>
        <w:tc>
          <w:tcPr>
            <w:tcW w:w="1700" w:type="dxa"/>
            <w:vAlign w:val="center"/>
          </w:tcPr>
          <w:p w14:paraId="5E4BDE14" w14:textId="77777777" w:rsidR="00CF4BD9" w:rsidRDefault="006912A3">
            <w:pPr>
              <w:spacing w:before="50" w:after="50" w:line="240" w:lineRule="auto"/>
            </w:pPr>
            <w:r>
              <w:rPr>
                <w:sz w:val="21"/>
              </w:rPr>
              <w:lastRenderedPageBreak/>
              <w:t>Solution §2.2 (L1)</w:t>
            </w:r>
          </w:p>
        </w:tc>
        <w:tc>
          <w:tcPr>
            <w:tcW w:w="4100" w:type="dxa"/>
            <w:vAlign w:val="center"/>
          </w:tcPr>
          <w:p w14:paraId="1F9395A9" w14:textId="77777777" w:rsidR="00CF4BD9" w:rsidRDefault="006912A3">
            <w:pPr>
              <w:spacing w:before="50" w:after="50" w:line="240" w:lineRule="auto"/>
            </w:pPr>
            <w:r>
              <w:rPr>
                <w:sz w:val="21"/>
              </w:rPr>
              <w:t>The CLI is ergonomics only — explicitly untrusted for correctness.</w:t>
            </w:r>
          </w:p>
        </w:tc>
        <w:tc>
          <w:tcPr>
            <w:tcW w:w="3480" w:type="dxa"/>
            <w:vAlign w:val="center"/>
          </w:tcPr>
          <w:p w14:paraId="7BE1398D" w14:textId="77777777" w:rsidR="00CF4BD9" w:rsidRDefault="006912A3">
            <w:pPr>
              <w:spacing w:before="50" w:after="50" w:line="240" w:lineRule="auto"/>
            </w:pPr>
            <w:r>
              <w:rPr>
                <w:sz w:val="21"/>
              </w:rPr>
              <w:t>Weak pressure. The CLI layer can be anything; only L2 must be trustworthy.</w:t>
            </w:r>
          </w:p>
        </w:tc>
      </w:tr>
      <w:tr w:rsidR="00CF4BD9" w14:paraId="6385F0C7" w14:textId="77777777">
        <w:trPr>
          <w:cantSplit/>
        </w:trPr>
        <w:tc>
          <w:tcPr>
            <w:tcW w:w="1700" w:type="dxa"/>
            <w:shd w:val="clear" w:color="auto" w:fill="F3F6FB"/>
            <w:vAlign w:val="center"/>
          </w:tcPr>
          <w:p w14:paraId="17571C50" w14:textId="77777777" w:rsidR="00CF4BD9" w:rsidRDefault="006912A3">
            <w:pPr>
              <w:spacing w:before="50" w:after="50" w:line="240" w:lineRule="auto"/>
            </w:pPr>
            <w:r>
              <w:rPr>
                <w:sz w:val="21"/>
              </w:rPr>
              <w:t>Problem §1.3, cat. E</w:t>
            </w:r>
          </w:p>
        </w:tc>
        <w:tc>
          <w:tcPr>
            <w:tcW w:w="4100" w:type="dxa"/>
            <w:shd w:val="clear" w:color="auto" w:fill="F3F6FB"/>
            <w:vAlign w:val="center"/>
          </w:tcPr>
          <w:p w14:paraId="03E5EA8E" w14:textId="77777777" w:rsidR="00CF4BD9" w:rsidRDefault="006912A3">
            <w:pPr>
              <w:spacing w:before="50" w:after="50" w:line="240" w:lineRule="auto"/>
            </w:pPr>
            <w:r>
              <w:rPr>
                <w:sz w:val="21"/>
              </w:rPr>
              <w:t>Local workspace commands are high-frequency: status is run many times a day.</w:t>
            </w:r>
          </w:p>
        </w:tc>
        <w:tc>
          <w:tcPr>
            <w:tcW w:w="3480" w:type="dxa"/>
            <w:shd w:val="clear" w:color="auto" w:fill="F3F6FB"/>
            <w:vAlign w:val="center"/>
          </w:tcPr>
          <w:p w14:paraId="2663F39F" w14:textId="77777777" w:rsidR="00CF4BD9" w:rsidRDefault="006912A3">
            <w:pPr>
              <w:spacing w:before="50" w:after="50" w:line="240" w:lineRule="auto"/>
            </w:pPr>
            <w:r>
              <w:rPr>
                <w:sz w:val="21"/>
              </w:rPr>
              <w:t>Toward fast process startup.</w:t>
            </w:r>
          </w:p>
        </w:tc>
      </w:tr>
      <w:tr w:rsidR="00CF4BD9" w14:paraId="44500E9B" w14:textId="77777777">
        <w:trPr>
          <w:cantSplit/>
        </w:trPr>
        <w:tc>
          <w:tcPr>
            <w:tcW w:w="1700" w:type="dxa"/>
            <w:vAlign w:val="center"/>
          </w:tcPr>
          <w:p w14:paraId="2472F037" w14:textId="77777777" w:rsidR="00CF4BD9" w:rsidRDefault="006912A3">
            <w:pPr>
              <w:spacing w:before="50" w:after="50" w:line="240" w:lineRule="auto"/>
            </w:pPr>
            <w:r>
              <w:rPr>
                <w:sz w:val="21"/>
              </w:rPr>
              <w:t>Solution §6</w:t>
            </w:r>
          </w:p>
        </w:tc>
        <w:tc>
          <w:tcPr>
            <w:tcW w:w="4100" w:type="dxa"/>
            <w:vAlign w:val="center"/>
          </w:tcPr>
          <w:p w14:paraId="6876335D" w14:textId="77777777" w:rsidR="00CF4BD9" w:rsidRDefault="006912A3">
            <w:pPr>
              <w:spacing w:before="50" w:after="50" w:line="240" w:lineRule="auto"/>
            </w:pPr>
            <w:r>
              <w:rPr>
                <w:sz w:val="21"/>
              </w:rPr>
              <w:t>The tool must be honest about what it does not guarantee; correctness is the product.</w:t>
            </w:r>
          </w:p>
        </w:tc>
        <w:tc>
          <w:tcPr>
            <w:tcW w:w="3480" w:type="dxa"/>
            <w:vAlign w:val="center"/>
          </w:tcPr>
          <w:p w14:paraId="199D5845" w14:textId="77777777" w:rsidR="00CF4BD9" w:rsidRDefault="006912A3">
            <w:pPr>
              <w:spacing w:before="50" w:after="50" w:line="240" w:lineRule="auto"/>
            </w:pPr>
            <w:r>
              <w:rPr>
                <w:sz w:val="21"/>
              </w:rPr>
              <w:t>Toward static typing and a strong test story.</w:t>
            </w:r>
          </w:p>
        </w:tc>
      </w:tr>
    </w:tbl>
    <w:p w14:paraId="4E4D2B59" w14:textId="77777777" w:rsidR="00CF4BD9" w:rsidRDefault="00CF4BD9">
      <w:pPr>
        <w:spacing w:after="0" w:line="140" w:lineRule="auto"/>
      </w:pPr>
    </w:p>
    <w:p w14:paraId="0184C369" w14:textId="77777777" w:rsidR="00CF4BD9" w:rsidRDefault="006912A3">
      <w:pPr>
        <w:pStyle w:val="Heading1"/>
      </w:pPr>
      <w:bookmarkStart w:id="5" w:name="_Toc238935555"/>
      <w:r>
        <w:t>3. Decision</w:t>
      </w:r>
      <w:bookmarkEnd w:id="5"/>
    </w:p>
    <w:p w14:paraId="5D4950F5" w14:textId="77777777" w:rsidR="00CF4BD9" w:rsidRDefault="006912A3">
      <w:pPr>
        <w:pStyle w:val="Callout"/>
      </w:pPr>
      <w:r>
        <w:t xml:space="preserve">Implement the tool in </w:t>
      </w:r>
      <w:r>
        <w:rPr>
          <w:b/>
        </w:rPr>
        <w:t>Node.js (CommonJS), with zero runtime dependencies</w:t>
      </w:r>
      <w:r>
        <w:t xml:space="preserve">, targeting Node 18 or later. Distribute via </w:t>
      </w:r>
      <w:r>
        <w:rPr>
          <w:rFonts w:ascii="Consolas" w:hAnsi="Consolas"/>
          <w:sz w:val="19"/>
          <w:shd w:val="clear" w:color="auto" w:fill="F2F2F2"/>
        </w:rPr>
        <w:t>npm link</w:t>
      </w:r>
      <w:r>
        <w:t xml:space="preserve"> for developers. Revisit before Phase 5.</w:t>
      </w:r>
    </w:p>
    <w:p w14:paraId="60B3C196" w14:textId="77777777" w:rsidR="00CF4BD9" w:rsidRDefault="006912A3">
      <w:r>
        <w:t xml:space="preserve">Zero dependencies is part of the decision, not an incidental detail. The implementation uses only </w:t>
      </w:r>
      <w:r>
        <w:rPr>
          <w:rFonts w:ascii="Consolas" w:hAnsi="Consolas"/>
          <w:sz w:val="19"/>
          <w:shd w:val="clear" w:color="auto" w:fill="F2F2F2"/>
        </w:rPr>
        <w:t>child_process</w:t>
      </w:r>
      <w:r>
        <w:t xml:space="preserve">, </w:t>
      </w:r>
      <w:r>
        <w:rPr>
          <w:rFonts w:ascii="Consolas" w:hAnsi="Consolas"/>
          <w:sz w:val="19"/>
          <w:shd w:val="clear" w:color="auto" w:fill="F2F2F2"/>
        </w:rPr>
        <w:t>fs</w:t>
      </w:r>
      <w:r>
        <w:t xml:space="preserve">, </w:t>
      </w:r>
      <w:r>
        <w:rPr>
          <w:rFonts w:ascii="Consolas" w:hAnsi="Consolas"/>
          <w:sz w:val="19"/>
          <w:shd w:val="clear" w:color="auto" w:fill="F2F2F2"/>
        </w:rPr>
        <w:t>path</w:t>
      </w:r>
      <w:r>
        <w:t xml:space="preserve">, </w:t>
      </w:r>
      <w:r>
        <w:rPr>
          <w:rFonts w:ascii="Consolas" w:hAnsi="Consolas"/>
          <w:sz w:val="19"/>
          <w:shd w:val="clear" w:color="auto" w:fill="F2F2F2"/>
        </w:rPr>
        <w:t>os</w:t>
      </w:r>
      <w:r>
        <w:t xml:space="preserve">, </w:t>
      </w:r>
      <w:r>
        <w:rPr>
          <w:rFonts w:ascii="Consolas" w:hAnsi="Consolas"/>
          <w:sz w:val="19"/>
          <w:shd w:val="clear" w:color="auto" w:fill="F2F2F2"/>
        </w:rPr>
        <w:t>crypto</w:t>
      </w:r>
      <w:r>
        <w:t xml:space="preserve"> and </w:t>
      </w:r>
      <w:r>
        <w:rPr>
          <w:rFonts w:ascii="Consolas" w:hAnsi="Consolas"/>
          <w:sz w:val="19"/>
          <w:shd w:val="clear" w:color="auto" w:fill="F2F2F2"/>
        </w:rPr>
        <w:t>zlib</w:t>
      </w:r>
      <w:r>
        <w:t xml:space="preserve"> from the standard library.</w:t>
      </w:r>
    </w:p>
    <w:p w14:paraId="6B168316" w14:textId="77777777" w:rsidR="00CF4BD9" w:rsidRDefault="006912A3">
      <w:pPr>
        <w:pStyle w:val="Heading1"/>
      </w:pPr>
      <w:bookmarkStart w:id="6" w:name="_Toc238935556"/>
      <w:r>
        <w:t>4. Rationale</w:t>
      </w:r>
      <w:bookmarkEnd w:id="6"/>
    </w:p>
    <w:p w14:paraId="59AFDCE6" w14:textId="77777777" w:rsidR="00CF4BD9" w:rsidRDefault="006912A3">
      <w:pPr>
        <w:pStyle w:val="Heading2"/>
      </w:pPr>
      <w:bookmarkStart w:id="7" w:name="_Toc238935557"/>
      <w:r>
        <w:t>4.1 The workload matches the language</w:t>
      </w:r>
      <w:bookmarkEnd w:id="7"/>
    </w:p>
    <w:p w14:paraId="4ABA51C6" w14:textId="77777777" w:rsidR="00CF4BD9" w:rsidRDefault="006912A3">
      <w:r>
        <w:t>As established in §2.2, this is a process-spawning and text-formatting tool. Node is well suited to exactly that, and the areas where it is weak — CPU-bound computation, memory-layout control, long-running concurrency — do not appear anywhere in Phases 1–4.</w:t>
      </w:r>
    </w:p>
    <w:p w14:paraId="68DFFA2F" w14:textId="77777777" w:rsidR="00CF4BD9" w:rsidRDefault="006912A3">
      <w:pPr>
        <w:pStyle w:val="Heading2"/>
      </w:pPr>
      <w:bookmarkStart w:id="8" w:name="_Toc238935558"/>
      <w:r>
        <w:t>4.2 Startup latency compounds</w:t>
      </w:r>
      <w:bookmarkEnd w:id="8"/>
    </w:p>
    <w:p w14:paraId="738DD46F" w14:textId="77777777" w:rsidR="00CF4BD9" w:rsidRDefault="006912A3">
      <w:r>
        <w:rPr>
          <w:rFonts w:ascii="Consolas" w:hAnsi="Consolas"/>
          <w:sz w:val="19"/>
          <w:shd w:val="clear" w:color="auto" w:fill="F2F2F2"/>
        </w:rPr>
        <w:t>poly status</w:t>
      </w:r>
      <w:r>
        <w:t xml:space="preserve"> is intended to be run the way </w:t>
      </w:r>
      <w:r>
        <w:rPr>
          <w:rFonts w:ascii="Consolas" w:hAnsi="Consolas"/>
          <w:sz w:val="19"/>
          <w:shd w:val="clear" w:color="auto" w:fill="F2F2F2"/>
        </w:rPr>
        <w:t>git status</w:t>
      </w:r>
      <w:r>
        <w:t xml:space="preserve"> is run: constantly, almost reflexively. Node cold-starts in roughly 40 ms. A JVM CLI of this size typically starts in 300–500 ms. That gap is the difference between a tool that feels instant and one that developers quietly stop running — and a Phase 1 tool whose entire value is *visibility* fails if nobody runs it.</w:t>
      </w:r>
    </w:p>
    <w:p w14:paraId="231B8DBA" w14:textId="77777777" w:rsidR="00CF4BD9" w:rsidRDefault="006912A3">
      <w:pPr>
        <w:pStyle w:val="Heading2"/>
      </w:pPr>
      <w:bookmarkStart w:id="9" w:name="_Toc238935559"/>
      <w:r>
        <w:t>4.3 No build step, during the phase where the design is still moving</w:t>
      </w:r>
      <w:bookmarkEnd w:id="9"/>
    </w:p>
    <w:p w14:paraId="7318E585" w14:textId="77777777" w:rsidR="00CF4BD9" w:rsidRDefault="006912A3">
      <w:r>
        <w:t>Phases 1–3 involve substantial reshaping as the checks meet real repositories. Edit-and-run beats edit-compile-package-run when the design is not yet settled. This advantage decays once the tool stabilises, and is weighted accordingly — it justifies the choice for now, not forever.</w:t>
      </w:r>
    </w:p>
    <w:p w14:paraId="1D2A0E10" w14:textId="77777777" w:rsidR="00CF4BD9" w:rsidRDefault="006912A3">
      <w:pPr>
        <w:pStyle w:val="Heading2"/>
      </w:pPr>
      <w:bookmarkStart w:id="10" w:name="_Toc238935560"/>
      <w:r>
        <w:lastRenderedPageBreak/>
        <w:t>4.4 Zero dependencies is worth real money here</w:t>
      </w:r>
      <w:bookmarkEnd w:id="10"/>
    </w:p>
    <w:p w14:paraId="716A4145" w14:textId="77777777" w:rsidR="00CF4BD9" w:rsidRDefault="006912A3">
      <w:r>
        <w:t xml:space="preserve">This tool holds write access to every repository in the workspace and promises that using it cannot destroy work. A supply chain of transitive dependencies is a poor fit for that promise. Having no third-party code at all means there is no dependency audit, no lockfile drift, no advisory to triage, and nothing to review but the tool itself. Node's standard library is sufficient to reach zero — including, as it turned out, writing the </w:t>
      </w:r>
      <w:r>
        <w:rPr>
          <w:rFonts w:ascii="Consolas" w:hAnsi="Consolas"/>
          <w:sz w:val="19"/>
          <w:shd w:val="clear" w:color="auto" w:fill="F2F2F2"/>
        </w:rPr>
        <w:t>.docx</w:t>
      </w:r>
      <w:r>
        <w:t xml:space="preserve"> files for these specifications.</w:t>
      </w:r>
    </w:p>
    <w:p w14:paraId="1456DC85" w14:textId="77777777" w:rsidR="00CF4BD9" w:rsidRDefault="006912A3">
      <w:pPr>
        <w:pStyle w:val="Heading2"/>
      </w:pPr>
      <w:bookmarkStart w:id="11" w:name="_Toc238935561"/>
      <w:r>
        <w:t>4.5 Distribution is immediate</w:t>
      </w:r>
      <w:bookmarkEnd w:id="11"/>
    </w:p>
    <w:p w14:paraId="635695E2" w14:textId="77777777" w:rsidR="00CF4BD9" w:rsidRDefault="006912A3">
      <w:r>
        <w:rPr>
          <w:rFonts w:ascii="Consolas" w:hAnsi="Consolas"/>
          <w:sz w:val="19"/>
          <w:shd w:val="clear" w:color="auto" w:fill="F2F2F2"/>
        </w:rPr>
        <w:t>npm link</w:t>
      </w:r>
      <w:r>
        <w:t xml:space="preserve"> produces a working global </w:t>
      </w:r>
      <w:r>
        <w:rPr>
          <w:rFonts w:ascii="Consolas" w:hAnsi="Consolas"/>
          <w:sz w:val="19"/>
          <w:shd w:val="clear" w:color="auto" w:fill="F2F2F2"/>
        </w:rPr>
        <w:t>poly</w:t>
      </w:r>
      <w:r>
        <w:t xml:space="preserve"> command with no packaging step. The equivalent in Java is a fat jar plus a wrapper script, or </w:t>
      </w:r>
      <w:r>
        <w:rPr>
          <w:rFonts w:ascii="Consolas" w:hAnsi="Consolas"/>
          <w:sz w:val="19"/>
          <w:shd w:val="clear" w:color="auto" w:fill="F2F2F2"/>
        </w:rPr>
        <w:t>jpackage</w:t>
      </w:r>
      <w:r>
        <w:t xml:space="preserve">/GraalVM </w:t>
      </w:r>
      <w:r>
        <w:rPr>
          <w:rFonts w:ascii="Consolas" w:hAnsi="Consolas"/>
          <w:sz w:val="19"/>
          <w:shd w:val="clear" w:color="auto" w:fill="F2F2F2"/>
        </w:rPr>
        <w:t>native-image</w:t>
      </w:r>
      <w:r>
        <w:t xml:space="preserve"> to get a true binary — more moving parts than Phase 1 warrants.</w:t>
      </w:r>
    </w:p>
    <w:p w14:paraId="0BC0E874" w14:textId="77777777" w:rsidR="00CF4BD9" w:rsidRDefault="006912A3">
      <w:pPr>
        <w:pStyle w:val="Heading1"/>
      </w:pPr>
      <w:bookmarkStart w:id="12" w:name="_Toc238935562"/>
      <w:r>
        <w:t>5. Consequences</w:t>
      </w:r>
      <w:bookmarkEnd w:id="12"/>
    </w:p>
    <w:p w14:paraId="02A26C75" w14:textId="77777777" w:rsidR="00CF4BD9" w:rsidRDefault="006912A3">
      <w:pPr>
        <w:pStyle w:val="Heading2"/>
      </w:pPr>
      <w:bookmarkStart w:id="13" w:name="_Toc238935563"/>
      <w:r>
        <w:t>5.1 Accepted costs</w:t>
      </w:r>
      <w:bookmarkEnd w:id="13"/>
    </w:p>
    <w:p w14:paraId="2C276E77" w14:textId="77777777" w:rsidR="00CF4BD9" w:rsidRDefault="006912A3">
      <w:r>
        <w:t>These are real and are accepted deliberately, not overlooked.</w:t>
      </w:r>
    </w:p>
    <w:p w14:paraId="7FC59A47" w14:textId="77777777" w:rsidR="00CF4BD9" w:rsidRDefault="006912A3">
      <w:pPr>
        <w:pStyle w:val="ListParagraph"/>
        <w:numPr>
          <w:ilvl w:val="0"/>
          <w:numId w:val="1"/>
        </w:numPr>
        <w:spacing w:after="80"/>
      </w:pPr>
      <w:r>
        <w:rPr>
          <w:b/>
        </w:rPr>
        <w:t>It is not literally one binary, which conflicts with Solution §2.2.</w:t>
      </w:r>
      <w:r>
        <w:t xml:space="preserve"> Node must be present wherever the policy engine runs. On developer machines and mainstream CI images this is a non-issue; in an air-gapped or tightly controlled image it is friction. Mitigation available without changing language: ship the policy engine as a Node single executable via </w:t>
      </w:r>
      <w:r>
        <w:rPr>
          <w:rFonts w:ascii="Consolas" w:hAnsi="Consolas"/>
          <w:sz w:val="19"/>
          <w:shd w:val="clear" w:color="auto" w:fill="F2F2F2"/>
        </w:rPr>
        <w:t>node --experimental-sea-config</w:t>
      </w:r>
      <w:r>
        <w:t>. If that proves inadequate, it is a genuine trigger to reconsider (§6).</w:t>
      </w:r>
    </w:p>
    <w:p w14:paraId="5ABC9ED6" w14:textId="77777777" w:rsidR="00CF4BD9" w:rsidRDefault="006912A3">
      <w:pPr>
        <w:pStyle w:val="ListParagraph"/>
        <w:numPr>
          <w:ilvl w:val="0"/>
          <w:numId w:val="1"/>
        </w:numPr>
        <w:spacing w:after="80"/>
      </w:pPr>
      <w:r>
        <w:rPr>
          <w:b/>
        </w:rPr>
        <w:t>No static typing.</w:t>
      </w:r>
      <w:r>
        <w:t xml:space="preserve"> For a tool whose product is a correctness guarantee, this is the most serious cost. It is currently mitigated by a test suite that asserts the safety properties directly against real Git repositories rather than trusting them — snapshots survive </w:t>
      </w:r>
      <w:r>
        <w:rPr>
          <w:rFonts w:ascii="Consolas" w:hAnsi="Consolas"/>
          <w:sz w:val="19"/>
          <w:shd w:val="clear" w:color="auto" w:fill="F2F2F2"/>
        </w:rPr>
        <w:t>branch -D</w:t>
      </w:r>
      <w:r>
        <w:t xml:space="preserve"> followed by </w:t>
      </w:r>
      <w:r>
        <w:rPr>
          <w:rFonts w:ascii="Consolas" w:hAnsi="Consolas"/>
          <w:sz w:val="19"/>
          <w:shd w:val="clear" w:color="auto" w:fill="F2F2F2"/>
        </w:rPr>
        <w:t>reflog expire</w:t>
      </w:r>
      <w:r>
        <w:t xml:space="preserve"> and </w:t>
      </w:r>
      <w:r>
        <w:rPr>
          <w:rFonts w:ascii="Consolas" w:hAnsi="Consolas"/>
          <w:sz w:val="19"/>
          <w:shd w:val="clear" w:color="auto" w:fill="F2F2F2"/>
        </w:rPr>
        <w:t>gc --prune=now --aggressive</w:t>
      </w:r>
      <w:r>
        <w:t>; destructive commands are refused; Gate 1 catches unmerged, missing and regressing pointers. Two real defects were caught by those tests during implementation. TypeScript is the cheap upgrade path and is recommended in §6.</w:t>
      </w:r>
    </w:p>
    <w:p w14:paraId="11265A20" w14:textId="77777777" w:rsidR="00CF4BD9" w:rsidRDefault="006912A3">
      <w:pPr>
        <w:pStyle w:val="ListParagraph"/>
        <w:numPr>
          <w:ilvl w:val="0"/>
          <w:numId w:val="1"/>
        </w:numPr>
        <w:spacing w:after="80"/>
      </w:pPr>
      <w:r>
        <w:rPr>
          <w:b/>
        </w:rPr>
        <w:t>Phase 5 integration is unknown.</w:t>
      </w:r>
      <w:r>
        <w:t xml:space="preserve"> If the saga coordinator must run as a service inside existing JVM infrastructure, Node may be the wrong host for it. This is precisely why the review is scheduled before Phase 5 rather than after.</w:t>
      </w:r>
    </w:p>
    <w:p w14:paraId="075C4410" w14:textId="77777777" w:rsidR="00CF4BD9" w:rsidRDefault="006912A3">
      <w:pPr>
        <w:pStyle w:val="ListParagraph"/>
        <w:numPr>
          <w:ilvl w:val="0"/>
          <w:numId w:val="1"/>
        </w:numPr>
        <w:spacing w:after="80"/>
      </w:pPr>
      <w:r>
        <w:rPr>
          <w:b/>
        </w:rPr>
        <w:t>CI images must provide Node.</w:t>
      </w:r>
      <w:r>
        <w:t xml:space="preserve"> Usually free, occasionally not.</w:t>
      </w:r>
    </w:p>
    <w:p w14:paraId="79ABC365" w14:textId="77777777" w:rsidR="00CF4BD9" w:rsidRDefault="006912A3">
      <w:pPr>
        <w:pStyle w:val="Heading2"/>
      </w:pPr>
      <w:bookmarkStart w:id="14" w:name="_Toc238935564"/>
      <w:r>
        <w:t>5.2 Benefits realised</w:t>
      </w:r>
      <w:bookmarkEnd w:id="14"/>
    </w:p>
    <w:p w14:paraId="4D73F2A0" w14:textId="77777777" w:rsidR="00CF4BD9" w:rsidRDefault="006912A3">
      <w:pPr>
        <w:pStyle w:val="ListParagraph"/>
        <w:numPr>
          <w:ilvl w:val="0"/>
          <w:numId w:val="1"/>
        </w:numPr>
        <w:spacing w:after="80"/>
      </w:pPr>
      <w:r>
        <w:t>Phase 1 plus the safety layer was delivered as roughly 3,300 lines with no third-party code.</w:t>
      </w:r>
    </w:p>
    <w:p w14:paraId="742FC48E" w14:textId="77777777" w:rsidR="00CF4BD9" w:rsidRDefault="006912A3">
      <w:pPr>
        <w:pStyle w:val="ListParagraph"/>
        <w:numPr>
          <w:ilvl w:val="0"/>
          <w:numId w:val="1"/>
        </w:numPr>
        <w:spacing w:after="80"/>
      </w:pPr>
      <w:r>
        <w:t>The test suite runs in a few seconds with no framework, no configuration and no install step.</w:t>
      </w:r>
    </w:p>
    <w:p w14:paraId="67947305" w14:textId="77777777" w:rsidR="00CF4BD9" w:rsidRDefault="006912A3">
      <w:pPr>
        <w:pStyle w:val="ListParagraph"/>
        <w:numPr>
          <w:ilvl w:val="0"/>
          <w:numId w:val="1"/>
        </w:numPr>
        <w:spacing w:after="80"/>
      </w:pPr>
      <w:r>
        <w:rPr>
          <w:rFonts w:ascii="Consolas" w:hAnsi="Consolas"/>
          <w:sz w:val="19"/>
          <w:shd w:val="clear" w:color="auto" w:fill="F2F2F2"/>
        </w:rPr>
        <w:t>poly status</w:t>
      </w:r>
      <w:r>
        <w:t xml:space="preserve"> returns fast enough to be run habitually, which is the behaviour Phase 1 depends on.</w:t>
      </w:r>
    </w:p>
    <w:p w14:paraId="450D7556" w14:textId="77777777" w:rsidR="00CF4BD9" w:rsidRDefault="006912A3">
      <w:pPr>
        <w:pStyle w:val="Heading1"/>
      </w:pPr>
      <w:bookmarkStart w:id="15" w:name="_Toc238935565"/>
      <w:r>
        <w:lastRenderedPageBreak/>
        <w:t>6. Alternatives considered</w:t>
      </w:r>
      <w:bookmarkEnd w:id="15"/>
    </w:p>
    <w:tbl>
      <w:tblPr>
        <w:tblW w:w="92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10" w:type="dxa"/>
          <w:bottom w:w="60" w:type="dxa"/>
          <w:right w:w="110" w:type="dxa"/>
        </w:tblCellMar>
        <w:tblLook w:val="04A0" w:firstRow="1" w:lastRow="0" w:firstColumn="1" w:lastColumn="0" w:noHBand="0" w:noVBand="1"/>
      </w:tblPr>
      <w:tblGrid>
        <w:gridCol w:w="1900"/>
        <w:gridCol w:w="3640"/>
        <w:gridCol w:w="3740"/>
      </w:tblGrid>
      <w:tr w:rsidR="00CF4BD9" w14:paraId="308C01B3" w14:textId="77777777">
        <w:trPr>
          <w:cantSplit/>
          <w:tblHeader/>
        </w:trPr>
        <w:tc>
          <w:tcPr>
            <w:tcW w:w="1900" w:type="dxa"/>
            <w:shd w:val="clear" w:color="auto" w:fill="1F3864"/>
            <w:vAlign w:val="center"/>
          </w:tcPr>
          <w:p w14:paraId="305B3B03" w14:textId="77777777" w:rsidR="00CF4BD9" w:rsidRDefault="006912A3">
            <w:pPr>
              <w:spacing w:before="50" w:after="50" w:line="240" w:lineRule="auto"/>
            </w:pPr>
            <w:r>
              <w:rPr>
                <w:b/>
                <w:color w:val="FFFFFF"/>
                <w:sz w:val="21"/>
              </w:rPr>
              <w:t>Option</w:t>
            </w:r>
          </w:p>
        </w:tc>
        <w:tc>
          <w:tcPr>
            <w:tcW w:w="3640" w:type="dxa"/>
            <w:shd w:val="clear" w:color="auto" w:fill="1F3864"/>
            <w:vAlign w:val="center"/>
          </w:tcPr>
          <w:p w14:paraId="36F3A29B" w14:textId="77777777" w:rsidR="00CF4BD9" w:rsidRDefault="006912A3">
            <w:pPr>
              <w:spacing w:before="50" w:after="50" w:line="240" w:lineRule="auto"/>
            </w:pPr>
            <w:r>
              <w:rPr>
                <w:b/>
                <w:color w:val="FFFFFF"/>
                <w:sz w:val="21"/>
              </w:rPr>
              <w:t>Case for it</w:t>
            </w:r>
          </w:p>
        </w:tc>
        <w:tc>
          <w:tcPr>
            <w:tcW w:w="3740" w:type="dxa"/>
            <w:shd w:val="clear" w:color="auto" w:fill="1F3864"/>
            <w:vAlign w:val="center"/>
          </w:tcPr>
          <w:p w14:paraId="3BB1D6D8" w14:textId="77777777" w:rsidR="00CF4BD9" w:rsidRDefault="006912A3">
            <w:pPr>
              <w:spacing w:before="50" w:after="50" w:line="240" w:lineRule="auto"/>
            </w:pPr>
            <w:r>
              <w:rPr>
                <w:b/>
                <w:color w:val="FFFFFF"/>
                <w:sz w:val="21"/>
              </w:rPr>
              <w:t>Why not now</w:t>
            </w:r>
          </w:p>
        </w:tc>
      </w:tr>
      <w:tr w:rsidR="00CF4BD9" w14:paraId="5B920E48" w14:textId="77777777">
        <w:trPr>
          <w:cantSplit/>
        </w:trPr>
        <w:tc>
          <w:tcPr>
            <w:tcW w:w="1900" w:type="dxa"/>
            <w:vAlign w:val="center"/>
          </w:tcPr>
          <w:p w14:paraId="0629F2B8" w14:textId="77777777" w:rsidR="00CF4BD9" w:rsidRDefault="006912A3">
            <w:pPr>
              <w:spacing w:before="50" w:after="50" w:line="240" w:lineRule="auto"/>
            </w:pPr>
            <w:r>
              <w:rPr>
                <w:b/>
                <w:sz w:val="21"/>
              </w:rPr>
              <w:t>Java 21</w:t>
            </w:r>
            <w:r>
              <w:rPr>
                <w:sz w:val="21"/>
              </w:rPr>
              <w:br/>
              <w:t>(Corretto + Maven already installed)</w:t>
            </w:r>
          </w:p>
        </w:tc>
        <w:tc>
          <w:tcPr>
            <w:tcW w:w="3640" w:type="dxa"/>
            <w:vAlign w:val="center"/>
          </w:tcPr>
          <w:p w14:paraId="12512349" w14:textId="77777777" w:rsidR="00CF4BD9" w:rsidRDefault="006912A3">
            <w:pPr>
              <w:spacing w:before="50" w:after="50" w:line="240" w:lineRule="auto"/>
            </w:pPr>
            <w:r>
              <w:rPr>
                <w:sz w:val="21"/>
              </w:rPr>
              <w:t>Strong static typing for a correctness-critical tool. Best fit if the Phase 5 coordinator lands in existing JVM infrastructure, and if the maintaining team is Java-primary.</w:t>
            </w:r>
          </w:p>
        </w:tc>
        <w:tc>
          <w:tcPr>
            <w:tcW w:w="3740" w:type="dxa"/>
            <w:vAlign w:val="center"/>
          </w:tcPr>
          <w:p w14:paraId="4DC361F7" w14:textId="77777777" w:rsidR="00CF4BD9" w:rsidRDefault="006912A3">
            <w:pPr>
              <w:spacing w:before="50" w:after="50" w:line="240" w:lineRule="auto"/>
            </w:pPr>
            <w:r>
              <w:rPr>
                <w:sz w:val="21"/>
              </w:rPr>
              <w:t>JVM startup penalty on a command meant to be run constantly; a build cycle between every change while the design is still moving. Neither objection applies to a long-running service, which is why this is the leading candidate for Phase 5.</w:t>
            </w:r>
          </w:p>
        </w:tc>
      </w:tr>
      <w:tr w:rsidR="00CF4BD9" w14:paraId="3782C561" w14:textId="77777777">
        <w:trPr>
          <w:cantSplit/>
        </w:trPr>
        <w:tc>
          <w:tcPr>
            <w:tcW w:w="1900" w:type="dxa"/>
            <w:shd w:val="clear" w:color="auto" w:fill="F3F6FB"/>
            <w:vAlign w:val="center"/>
          </w:tcPr>
          <w:p w14:paraId="0D3AB9EC" w14:textId="77777777" w:rsidR="00CF4BD9" w:rsidRDefault="006912A3">
            <w:pPr>
              <w:spacing w:before="50" w:after="50" w:line="240" w:lineRule="auto"/>
            </w:pPr>
            <w:r>
              <w:rPr>
                <w:b/>
                <w:sz w:val="21"/>
              </w:rPr>
              <w:t>Rust</w:t>
            </w:r>
            <w:r>
              <w:rPr>
                <w:sz w:val="21"/>
              </w:rPr>
              <w:br/>
              <w:t xml:space="preserve">(precedent: </w:t>
            </w:r>
            <w:r>
              <w:rPr>
                <w:rFonts w:ascii="Consolas" w:hAnsi="Consolas"/>
                <w:sz w:val="19"/>
                <w:shd w:val="clear" w:color="auto" w:fill="F2F2F2"/>
              </w:rPr>
              <w:t>work-tracker</w:t>
            </w:r>
            <w:r>
              <w:rPr>
                <w:sz w:val="21"/>
              </w:rPr>
              <w:t>)</w:t>
            </w:r>
          </w:p>
        </w:tc>
        <w:tc>
          <w:tcPr>
            <w:tcW w:w="3640" w:type="dxa"/>
            <w:shd w:val="clear" w:color="auto" w:fill="F3F6FB"/>
            <w:vAlign w:val="center"/>
          </w:tcPr>
          <w:p w14:paraId="20FB5D71" w14:textId="77777777" w:rsidR="00CF4BD9" w:rsidRDefault="006912A3">
            <w:pPr>
              <w:spacing w:before="50" w:after="50" w:line="240" w:lineRule="auto"/>
            </w:pPr>
            <w:r>
              <w:rPr>
                <w:sz w:val="21"/>
              </w:rPr>
              <w:t>Satisfies "shipped as one binary" literally, and removes the air-gapped runtime problem entirely. Strongest type system of the candidates.</w:t>
            </w:r>
          </w:p>
        </w:tc>
        <w:tc>
          <w:tcPr>
            <w:tcW w:w="3740" w:type="dxa"/>
            <w:shd w:val="clear" w:color="auto" w:fill="F3F6FB"/>
            <w:vAlign w:val="center"/>
          </w:tcPr>
          <w:p w14:paraId="663C6F32" w14:textId="77777777" w:rsidR="00CF4BD9" w:rsidRDefault="006912A3">
            <w:pPr>
              <w:spacing w:before="50" w:after="50" w:line="240" w:lineRule="auto"/>
            </w:pPr>
            <w:r>
              <w:rPr>
                <w:sz w:val="21"/>
              </w:rPr>
              <w:t>Slowest iteration during a phase where the checks are still being reshaped against real repositories. The strongest alternative on requirements, the weakest on time-to-first-value.</w:t>
            </w:r>
          </w:p>
        </w:tc>
      </w:tr>
      <w:tr w:rsidR="00CF4BD9" w14:paraId="1A977367" w14:textId="77777777">
        <w:trPr>
          <w:cantSplit/>
        </w:trPr>
        <w:tc>
          <w:tcPr>
            <w:tcW w:w="1900" w:type="dxa"/>
            <w:vAlign w:val="center"/>
          </w:tcPr>
          <w:p w14:paraId="2EDAE984" w14:textId="77777777" w:rsidR="00CF4BD9" w:rsidRDefault="006912A3">
            <w:pPr>
              <w:spacing w:before="50" w:after="50" w:line="240" w:lineRule="auto"/>
            </w:pPr>
            <w:r>
              <w:rPr>
                <w:b/>
                <w:sz w:val="21"/>
              </w:rPr>
              <w:t>Go</w:t>
            </w:r>
          </w:p>
        </w:tc>
        <w:tc>
          <w:tcPr>
            <w:tcW w:w="3640" w:type="dxa"/>
            <w:vAlign w:val="center"/>
          </w:tcPr>
          <w:p w14:paraId="1F3D272D" w14:textId="77777777" w:rsidR="00CF4BD9" w:rsidRDefault="006912A3">
            <w:pPr>
              <w:spacing w:before="50" w:after="50" w:line="240" w:lineRule="auto"/>
            </w:pPr>
            <w:r>
              <w:rPr>
                <w:sz w:val="21"/>
              </w:rPr>
              <w:t>Arguably the best fit on paper for a single-binary Git-wrapping CLI: fast startup, trivial cross-compilation, one static binary.</w:t>
            </w:r>
          </w:p>
        </w:tc>
        <w:tc>
          <w:tcPr>
            <w:tcW w:w="3740" w:type="dxa"/>
            <w:vAlign w:val="center"/>
          </w:tcPr>
          <w:p w14:paraId="0814A1FF" w14:textId="77777777" w:rsidR="00CF4BD9" w:rsidRDefault="006912A3">
            <w:pPr>
              <w:spacing w:before="50" w:after="50" w:line="240" w:lineRule="auto"/>
            </w:pPr>
            <w:r>
              <w:rPr>
                <w:sz w:val="21"/>
              </w:rPr>
              <w:t>No presence anywhere in the organisation. Introducing a fifth language for one tool needs a stronger reason than a marginal technical edge.</w:t>
            </w:r>
          </w:p>
        </w:tc>
      </w:tr>
      <w:tr w:rsidR="00CF4BD9" w14:paraId="299620E4" w14:textId="77777777">
        <w:trPr>
          <w:cantSplit/>
        </w:trPr>
        <w:tc>
          <w:tcPr>
            <w:tcW w:w="1900" w:type="dxa"/>
            <w:shd w:val="clear" w:color="auto" w:fill="F3F6FB"/>
            <w:vAlign w:val="center"/>
          </w:tcPr>
          <w:p w14:paraId="3F32FFFF" w14:textId="77777777" w:rsidR="00CF4BD9" w:rsidRDefault="006912A3">
            <w:pPr>
              <w:spacing w:before="50" w:after="50" w:line="240" w:lineRule="auto"/>
            </w:pPr>
            <w:r>
              <w:rPr>
                <w:b/>
                <w:sz w:val="21"/>
              </w:rPr>
              <w:t>Python</w:t>
            </w:r>
            <w:r>
              <w:rPr>
                <w:sz w:val="21"/>
              </w:rPr>
              <w:br/>
              <w:t xml:space="preserve">(precedent: </w:t>
            </w:r>
            <w:r>
              <w:rPr>
                <w:rFonts w:ascii="Consolas" w:hAnsi="Consolas"/>
                <w:sz w:val="19"/>
                <w:shd w:val="clear" w:color="auto" w:fill="F2F2F2"/>
              </w:rPr>
              <w:t>trading-bot</w:t>
            </w:r>
            <w:r>
              <w:rPr>
                <w:sz w:val="21"/>
              </w:rPr>
              <w:t>)</w:t>
            </w:r>
          </w:p>
        </w:tc>
        <w:tc>
          <w:tcPr>
            <w:tcW w:w="3640" w:type="dxa"/>
            <w:shd w:val="clear" w:color="auto" w:fill="F3F6FB"/>
            <w:vAlign w:val="center"/>
          </w:tcPr>
          <w:p w14:paraId="2293C1B7" w14:textId="77777777" w:rsidR="00CF4BD9" w:rsidRDefault="006912A3">
            <w:pPr>
              <w:spacing w:before="50" w:after="50" w:line="240" w:lineRule="auto"/>
            </w:pPr>
            <w:r>
              <w:rPr>
                <w:sz w:val="21"/>
              </w:rPr>
              <w:t>Excellent for subprocess orchestration; fast to write.</w:t>
            </w:r>
          </w:p>
        </w:tc>
        <w:tc>
          <w:tcPr>
            <w:tcW w:w="3740" w:type="dxa"/>
            <w:shd w:val="clear" w:color="auto" w:fill="F3F6FB"/>
            <w:vAlign w:val="center"/>
          </w:tcPr>
          <w:p w14:paraId="197B486C" w14:textId="77777777" w:rsidR="00CF4BD9" w:rsidRDefault="006912A3">
            <w:pPr>
              <w:spacing w:before="50" w:after="50" w:line="240" w:lineRule="auto"/>
            </w:pPr>
            <w:r>
              <w:rPr>
                <w:sz w:val="21"/>
              </w:rPr>
              <w:t>Runtime and dependency management on Windows is the weakest of the candidates, and this tool must be effortless to install for every developer.</w:t>
            </w:r>
          </w:p>
        </w:tc>
      </w:tr>
      <w:tr w:rsidR="00CF4BD9" w14:paraId="5DDE2C60" w14:textId="77777777">
        <w:trPr>
          <w:cantSplit/>
        </w:trPr>
        <w:tc>
          <w:tcPr>
            <w:tcW w:w="1900" w:type="dxa"/>
            <w:vAlign w:val="center"/>
          </w:tcPr>
          <w:p w14:paraId="7F789381" w14:textId="77777777" w:rsidR="00CF4BD9" w:rsidRDefault="006912A3">
            <w:pPr>
              <w:spacing w:before="50" w:after="50" w:line="240" w:lineRule="auto"/>
            </w:pPr>
            <w:r>
              <w:rPr>
                <w:b/>
                <w:sz w:val="21"/>
              </w:rPr>
              <w:t>TypeScript</w:t>
            </w:r>
          </w:p>
        </w:tc>
        <w:tc>
          <w:tcPr>
            <w:tcW w:w="3640" w:type="dxa"/>
            <w:vAlign w:val="center"/>
          </w:tcPr>
          <w:p w14:paraId="4FBFC368" w14:textId="77777777" w:rsidR="00CF4BD9" w:rsidRDefault="006912A3">
            <w:pPr>
              <w:spacing w:before="50" w:after="50" w:line="240" w:lineRule="auto"/>
            </w:pPr>
            <w:r>
              <w:rPr>
                <w:sz w:val="21"/>
              </w:rPr>
              <w:t>Everything Node offers, plus the static typing identified as the main gap in §5.1.</w:t>
            </w:r>
          </w:p>
        </w:tc>
        <w:tc>
          <w:tcPr>
            <w:tcW w:w="3740" w:type="dxa"/>
            <w:vAlign w:val="center"/>
          </w:tcPr>
          <w:p w14:paraId="0AB85D41" w14:textId="77777777" w:rsidR="00CF4BD9" w:rsidRDefault="006912A3">
            <w:pPr>
              <w:spacing w:before="50" w:after="50" w:line="240" w:lineRule="auto"/>
            </w:pPr>
            <w:r>
              <w:rPr>
                <w:sz w:val="21"/>
              </w:rPr>
              <w:t xml:space="preserve">Reintroduces a build step at the moment iteration speed mattered most. </w:t>
            </w:r>
            <w:r>
              <w:rPr>
                <w:b/>
                <w:sz w:val="21"/>
              </w:rPr>
              <w:t>Recommended as the near-term upgrade</w:t>
            </w:r>
            <w:r>
              <w:rPr>
                <w:sz w:val="21"/>
              </w:rPr>
              <w:t xml:space="preserve"> once the surface stabilises — see §7.</w:t>
            </w:r>
          </w:p>
        </w:tc>
      </w:tr>
    </w:tbl>
    <w:p w14:paraId="2F594DB2" w14:textId="77777777" w:rsidR="00CF4BD9" w:rsidRDefault="00CF4BD9">
      <w:pPr>
        <w:spacing w:after="0" w:line="140" w:lineRule="auto"/>
      </w:pPr>
    </w:p>
    <w:p w14:paraId="100671F2" w14:textId="77777777" w:rsidR="00CF4BD9" w:rsidRDefault="006912A3">
      <w:pPr>
        <w:pStyle w:val="Heading1"/>
      </w:pPr>
      <w:bookmarkStart w:id="16" w:name="_Toc238935566"/>
      <w:r>
        <w:t>7. When to revisit</w:t>
      </w:r>
      <w:bookmarkEnd w:id="16"/>
    </w:p>
    <w:p w14:paraId="624E00F1" w14:textId="77777777" w:rsidR="00CF4BD9" w:rsidRDefault="006912A3">
      <w:r>
        <w:t>This decision should be reopened when any of the following becomes true. Each is observable, so the review is triggered by evidence rather than opinion.</w:t>
      </w:r>
    </w:p>
    <w:tbl>
      <w:tblPr>
        <w:tblW w:w="92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10" w:type="dxa"/>
          <w:bottom w:w="60" w:type="dxa"/>
          <w:right w:w="110" w:type="dxa"/>
        </w:tblCellMar>
        <w:tblLook w:val="04A0" w:firstRow="1" w:lastRow="0" w:firstColumn="1" w:lastColumn="0" w:noHBand="0" w:noVBand="1"/>
      </w:tblPr>
      <w:tblGrid>
        <w:gridCol w:w="4200"/>
        <w:gridCol w:w="5080"/>
      </w:tblGrid>
      <w:tr w:rsidR="00CF4BD9" w14:paraId="6BD70839" w14:textId="77777777">
        <w:trPr>
          <w:cantSplit/>
          <w:tblHeader/>
        </w:trPr>
        <w:tc>
          <w:tcPr>
            <w:tcW w:w="4200" w:type="dxa"/>
            <w:shd w:val="clear" w:color="auto" w:fill="1F3864"/>
            <w:vAlign w:val="center"/>
          </w:tcPr>
          <w:p w14:paraId="658707F2" w14:textId="77777777" w:rsidR="00CF4BD9" w:rsidRDefault="006912A3">
            <w:pPr>
              <w:spacing w:before="50" w:after="50" w:line="240" w:lineRule="auto"/>
            </w:pPr>
            <w:r>
              <w:rPr>
                <w:b/>
                <w:color w:val="FFFFFF"/>
                <w:sz w:val="21"/>
              </w:rPr>
              <w:t>Trigger</w:t>
            </w:r>
          </w:p>
        </w:tc>
        <w:tc>
          <w:tcPr>
            <w:tcW w:w="5080" w:type="dxa"/>
            <w:shd w:val="clear" w:color="auto" w:fill="1F3864"/>
            <w:vAlign w:val="center"/>
          </w:tcPr>
          <w:p w14:paraId="0848CC6C" w14:textId="77777777" w:rsidR="00CF4BD9" w:rsidRDefault="006912A3">
            <w:pPr>
              <w:spacing w:before="50" w:after="50" w:line="240" w:lineRule="auto"/>
            </w:pPr>
            <w:r>
              <w:rPr>
                <w:b/>
                <w:color w:val="FFFFFF"/>
                <w:sz w:val="21"/>
              </w:rPr>
              <w:t>Action</w:t>
            </w:r>
          </w:p>
        </w:tc>
      </w:tr>
      <w:tr w:rsidR="00CF4BD9" w14:paraId="033F0EC8" w14:textId="77777777">
        <w:trPr>
          <w:cantSplit/>
        </w:trPr>
        <w:tc>
          <w:tcPr>
            <w:tcW w:w="4200" w:type="dxa"/>
            <w:vAlign w:val="center"/>
          </w:tcPr>
          <w:p w14:paraId="33636D5E" w14:textId="77777777" w:rsidR="00CF4BD9" w:rsidRDefault="006912A3">
            <w:pPr>
              <w:spacing w:before="50" w:after="50" w:line="240" w:lineRule="auto"/>
            </w:pPr>
            <w:r>
              <w:rPr>
                <w:sz w:val="21"/>
              </w:rPr>
              <w:t>Air-gapped or self-hosted CI becomes a real requirement rather than a hypothetical one (Solution §4, row 30)</w:t>
            </w:r>
          </w:p>
        </w:tc>
        <w:tc>
          <w:tcPr>
            <w:tcW w:w="5080" w:type="dxa"/>
            <w:vAlign w:val="center"/>
          </w:tcPr>
          <w:p w14:paraId="08676FF7" w14:textId="77777777" w:rsidR="00CF4BD9" w:rsidRDefault="006912A3">
            <w:pPr>
              <w:spacing w:before="50" w:after="50" w:line="240" w:lineRule="auto"/>
            </w:pPr>
            <w:r>
              <w:rPr>
                <w:sz w:val="21"/>
              </w:rPr>
              <w:t>First try a Node single executable (</w:t>
            </w:r>
            <w:r>
              <w:rPr>
                <w:rFonts w:ascii="Consolas" w:hAnsi="Consolas"/>
                <w:sz w:val="19"/>
                <w:shd w:val="clear" w:color="auto" w:fill="F2F2F2"/>
              </w:rPr>
              <w:t>--experimental-sea-config</w:t>
            </w:r>
            <w:r>
              <w:rPr>
                <w:sz w:val="21"/>
              </w:rPr>
              <w:t>). If the constraint is "no interpreter at all", move the policy engine to Rust or Go.</w:t>
            </w:r>
          </w:p>
        </w:tc>
      </w:tr>
      <w:tr w:rsidR="00CF4BD9" w14:paraId="55400A02" w14:textId="77777777">
        <w:trPr>
          <w:cantSplit/>
        </w:trPr>
        <w:tc>
          <w:tcPr>
            <w:tcW w:w="4200" w:type="dxa"/>
            <w:shd w:val="clear" w:color="auto" w:fill="F3F6FB"/>
            <w:vAlign w:val="center"/>
          </w:tcPr>
          <w:p w14:paraId="2526BD0A" w14:textId="77777777" w:rsidR="00CF4BD9" w:rsidRDefault="006912A3">
            <w:pPr>
              <w:spacing w:before="50" w:after="50" w:line="240" w:lineRule="auto"/>
            </w:pPr>
            <w:r>
              <w:rPr>
                <w:sz w:val="21"/>
              </w:rPr>
              <w:lastRenderedPageBreak/>
              <w:t>The Phase 5 coordinator must run inside existing JVM infrastructure</w:t>
            </w:r>
          </w:p>
        </w:tc>
        <w:tc>
          <w:tcPr>
            <w:tcW w:w="5080" w:type="dxa"/>
            <w:shd w:val="clear" w:color="auto" w:fill="F3F6FB"/>
            <w:vAlign w:val="center"/>
          </w:tcPr>
          <w:p w14:paraId="5A2EECD2" w14:textId="77777777" w:rsidR="00CF4BD9" w:rsidRDefault="006912A3">
            <w:pPr>
              <w:spacing w:before="50" w:after="50" w:line="240" w:lineRule="auto"/>
            </w:pPr>
            <w:r>
              <w:rPr>
                <w:sz w:val="21"/>
              </w:rPr>
              <w:t>Reconsider Java for the coordinator specifically. The CLI and policy engine can stay in Node — they communicate through Git state and JSON, not shared memory.</w:t>
            </w:r>
          </w:p>
        </w:tc>
      </w:tr>
      <w:tr w:rsidR="00CF4BD9" w14:paraId="07450F19" w14:textId="77777777">
        <w:trPr>
          <w:cantSplit/>
        </w:trPr>
        <w:tc>
          <w:tcPr>
            <w:tcW w:w="4200" w:type="dxa"/>
            <w:vAlign w:val="center"/>
          </w:tcPr>
          <w:p w14:paraId="14CCC0C7" w14:textId="77777777" w:rsidR="00CF4BD9" w:rsidRDefault="006912A3">
            <w:pPr>
              <w:spacing w:before="50" w:after="50" w:line="240" w:lineRule="auto"/>
            </w:pPr>
            <w:r>
              <w:rPr>
                <w:sz w:val="21"/>
              </w:rPr>
              <w:t>The people maintaining the tool are Java-primary</w:t>
            </w:r>
          </w:p>
        </w:tc>
        <w:tc>
          <w:tcPr>
            <w:tcW w:w="5080" w:type="dxa"/>
            <w:vAlign w:val="center"/>
          </w:tcPr>
          <w:p w14:paraId="0E0C41CD" w14:textId="77777777" w:rsidR="00CF4BD9" w:rsidRDefault="006912A3">
            <w:pPr>
              <w:spacing w:before="50" w:after="50" w:line="240" w:lineRule="auto"/>
            </w:pPr>
            <w:r>
              <w:rPr>
                <w:sz w:val="21"/>
              </w:rPr>
              <w:t>Port it. Maintainability by the actual team beats a marginal technical fit; see §8 for the cost.</w:t>
            </w:r>
          </w:p>
        </w:tc>
      </w:tr>
      <w:tr w:rsidR="00CF4BD9" w14:paraId="3C3EF10C" w14:textId="77777777">
        <w:trPr>
          <w:cantSplit/>
        </w:trPr>
        <w:tc>
          <w:tcPr>
            <w:tcW w:w="4200" w:type="dxa"/>
            <w:shd w:val="clear" w:color="auto" w:fill="F3F6FB"/>
            <w:vAlign w:val="center"/>
          </w:tcPr>
          <w:p w14:paraId="7F60D957" w14:textId="77777777" w:rsidR="00CF4BD9" w:rsidRDefault="006912A3">
            <w:pPr>
              <w:spacing w:before="50" w:after="50" w:line="240" w:lineRule="auto"/>
            </w:pPr>
            <w:r>
              <w:rPr>
                <w:sz w:val="21"/>
              </w:rPr>
              <w:t>The codebase passes roughly 10,000 lines while still untyped, or a type-related defect reaches a user</w:t>
            </w:r>
          </w:p>
        </w:tc>
        <w:tc>
          <w:tcPr>
            <w:tcW w:w="5080" w:type="dxa"/>
            <w:shd w:val="clear" w:color="auto" w:fill="F3F6FB"/>
            <w:vAlign w:val="center"/>
          </w:tcPr>
          <w:p w14:paraId="417EE5B4" w14:textId="77777777" w:rsidR="00CF4BD9" w:rsidRDefault="006912A3">
            <w:pPr>
              <w:spacing w:before="50" w:after="50" w:line="240" w:lineRule="auto"/>
            </w:pPr>
            <w:r>
              <w:rPr>
                <w:sz w:val="21"/>
              </w:rPr>
              <w:t>Move to TypeScript. This is an in-place migration, not a rewrite.</w:t>
            </w:r>
          </w:p>
        </w:tc>
      </w:tr>
      <w:tr w:rsidR="00CF4BD9" w14:paraId="330734D8" w14:textId="77777777">
        <w:trPr>
          <w:cantSplit/>
        </w:trPr>
        <w:tc>
          <w:tcPr>
            <w:tcW w:w="4200" w:type="dxa"/>
            <w:vAlign w:val="center"/>
          </w:tcPr>
          <w:p w14:paraId="55B23E36" w14:textId="77777777" w:rsidR="00CF4BD9" w:rsidRDefault="006912A3">
            <w:pPr>
              <w:spacing w:before="50" w:after="50" w:line="240" w:lineRule="auto"/>
            </w:pPr>
            <w:r>
              <w:rPr>
                <w:sz w:val="21"/>
              </w:rPr>
              <w:t>Startup time stops mattering — e.g. the tool becomes a long-running daemon rather than a CLI</w:t>
            </w:r>
          </w:p>
        </w:tc>
        <w:tc>
          <w:tcPr>
            <w:tcW w:w="5080" w:type="dxa"/>
            <w:vAlign w:val="center"/>
          </w:tcPr>
          <w:p w14:paraId="32098A31" w14:textId="77777777" w:rsidR="00CF4BD9" w:rsidRDefault="006912A3">
            <w:pPr>
              <w:spacing w:before="50" w:after="50" w:line="240" w:lineRule="auto"/>
            </w:pPr>
            <w:r>
              <w:rPr>
                <w:sz w:val="21"/>
              </w:rPr>
              <w:t>The main argument for Node weakens considerably. Re-run this comparison from the top.</w:t>
            </w:r>
          </w:p>
        </w:tc>
      </w:tr>
    </w:tbl>
    <w:p w14:paraId="36832167" w14:textId="77777777" w:rsidR="00CF4BD9" w:rsidRDefault="00CF4BD9">
      <w:pPr>
        <w:spacing w:after="0" w:line="140" w:lineRule="auto"/>
      </w:pPr>
    </w:p>
    <w:p w14:paraId="5FA54B93" w14:textId="77777777" w:rsidR="00CF4BD9" w:rsidRDefault="006912A3">
      <w:pPr>
        <w:pStyle w:val="Heading1"/>
      </w:pPr>
      <w:bookmarkStart w:id="17" w:name="_Toc238935567"/>
      <w:r>
        <w:t>8. Cost of reversal</w:t>
      </w:r>
      <w:bookmarkEnd w:id="17"/>
    </w:p>
    <w:p w14:paraId="63513A77" w14:textId="77777777" w:rsidR="00CF4BD9" w:rsidRDefault="006912A3">
      <w:r>
        <w:t>Deliberately kept low, and worth stating plainly so that the decision does not calcify simply because code exists.</w:t>
      </w:r>
    </w:p>
    <w:p w14:paraId="3E3CCEEF" w14:textId="77777777" w:rsidR="00CF4BD9" w:rsidRDefault="006912A3">
      <w:r>
        <w:t xml:space="preserve">The Phase 1 implementation is roughly 3,300 lines, but </w:t>
      </w:r>
      <w:r>
        <w:rPr>
          <w:b/>
        </w:rPr>
        <w:t>the valuable output is the design rather than the syntax</w:t>
      </w:r>
      <w:r>
        <w:t>. What ports unchanged to any language:</w:t>
      </w:r>
    </w:p>
    <w:p w14:paraId="3DDB6949" w14:textId="77777777" w:rsidR="00CF4BD9" w:rsidRDefault="006912A3">
      <w:pPr>
        <w:pStyle w:val="ListParagraph"/>
        <w:numPr>
          <w:ilvl w:val="0"/>
          <w:numId w:val="1"/>
        </w:numPr>
        <w:spacing w:after="80"/>
      </w:pPr>
      <w:r>
        <w:t xml:space="preserve">The </w:t>
      </w:r>
      <w:r>
        <w:rPr>
          <w:b/>
        </w:rPr>
        <w:t>destructive-command blocklist</w:t>
      </w:r>
      <w:r>
        <w:t xml:space="preserve"> — the specific set of git invocations that can lose work, and the argument patterns that identify them.</w:t>
      </w:r>
    </w:p>
    <w:p w14:paraId="2562F3C8" w14:textId="77777777" w:rsidR="00CF4BD9" w:rsidRDefault="006912A3">
      <w:pPr>
        <w:pStyle w:val="ListParagraph"/>
        <w:numPr>
          <w:ilvl w:val="0"/>
          <w:numId w:val="1"/>
        </w:numPr>
        <w:spacing w:after="80"/>
      </w:pPr>
      <w:r>
        <w:t xml:space="preserve">The </w:t>
      </w:r>
      <w:r>
        <w:rPr>
          <w:b/>
        </w:rPr>
        <w:t>snapshot technique</w:t>
      </w:r>
      <w:r>
        <w:t xml:space="preserve"> — seeding a temporary index from HEAD, staging the working tree into it, writing a tree, and committing it with </w:t>
      </w:r>
      <w:r>
        <w:rPr>
          <w:rFonts w:ascii="Consolas" w:hAnsi="Consolas"/>
          <w:sz w:val="19"/>
          <w:shd w:val="clear" w:color="auto" w:fill="F2F2F2"/>
        </w:rPr>
        <w:t>commit-tree</w:t>
      </w:r>
      <w:r>
        <w:t xml:space="preserve"> so that the real index and working tree are never touched. This is a sequence of git plumbing commands; it is language-independent.</w:t>
      </w:r>
    </w:p>
    <w:p w14:paraId="602F0676" w14:textId="77777777" w:rsidR="00CF4BD9" w:rsidRDefault="006912A3">
      <w:pPr>
        <w:pStyle w:val="ListParagraph"/>
        <w:numPr>
          <w:ilvl w:val="0"/>
          <w:numId w:val="1"/>
        </w:numPr>
        <w:spacing w:after="80"/>
      </w:pPr>
      <w:r>
        <w:t xml:space="preserve">The </w:t>
      </w:r>
      <w:r>
        <w:rPr>
          <w:b/>
        </w:rPr>
        <w:t>Gate 1 reachability logic</w:t>
      </w:r>
      <w:r>
        <w:t xml:space="preserve"> — the ordered checks and the precise </w:t>
      </w:r>
      <w:r>
        <w:rPr>
          <w:rFonts w:ascii="Consolas" w:hAnsi="Consolas"/>
          <w:sz w:val="19"/>
          <w:shd w:val="clear" w:color="auto" w:fill="F2F2F2"/>
        </w:rPr>
        <w:t>merge-base --is-ancestor</w:t>
      </w:r>
      <w:r>
        <w:t xml:space="preserve"> semantics that decide whether a pointer is safe.</w:t>
      </w:r>
    </w:p>
    <w:p w14:paraId="0717CFA9" w14:textId="77777777" w:rsidR="00CF4BD9" w:rsidRDefault="006912A3">
      <w:pPr>
        <w:pStyle w:val="ListParagraph"/>
        <w:numPr>
          <w:ilvl w:val="0"/>
          <w:numId w:val="1"/>
        </w:numPr>
        <w:spacing w:after="80"/>
      </w:pPr>
      <w:r>
        <w:t xml:space="preserve">Every </w:t>
      </w:r>
      <w:r>
        <w:rPr>
          <w:b/>
        </w:rPr>
        <w:t>git command string</w:t>
      </w:r>
      <w:r>
        <w:t xml:space="preserve"> in the tool, verbatim.</w:t>
      </w:r>
    </w:p>
    <w:p w14:paraId="3786445C" w14:textId="77777777" w:rsidR="00CF4BD9" w:rsidRDefault="006912A3">
      <w:pPr>
        <w:pStyle w:val="ListParagraph"/>
        <w:numPr>
          <w:ilvl w:val="0"/>
          <w:numId w:val="1"/>
        </w:numPr>
        <w:spacing w:after="80"/>
      </w:pPr>
      <w:r>
        <w:t xml:space="preserve">The </w:t>
      </w:r>
      <w:r>
        <w:rPr>
          <w:b/>
        </w:rPr>
        <w:t>test scenarios</w:t>
      </w:r>
      <w:r>
        <w:t>, which are expressed as real repository states rather than as language constructs.</w:t>
      </w:r>
    </w:p>
    <w:p w14:paraId="34F95F94" w14:textId="77777777" w:rsidR="00CF4BD9" w:rsidRDefault="006912A3">
      <w:pPr>
        <w:pStyle w:val="Callout"/>
      </w:pPr>
      <w:r>
        <w:t xml:space="preserve">Estimated port cost: </w:t>
      </w:r>
      <w:r>
        <w:rPr>
          <w:b/>
        </w:rPr>
        <w:t>one to two days</w:t>
      </w:r>
      <w:r>
        <w:t>, dominated by re-implementing terminal formatting and argument parsing — the least valuable parts. This is a rewrite of the shell around a design that survives intact, not a restart.</w:t>
      </w:r>
    </w:p>
    <w:p w14:paraId="5DD488A8" w14:textId="77777777" w:rsidR="00CF4BD9" w:rsidRDefault="006912A3">
      <w:pPr>
        <w:pStyle w:val="Heading1"/>
      </w:pPr>
      <w:bookmarkStart w:id="18" w:name="_Toc238935568"/>
      <w:r>
        <w:t>9. Notes</w:t>
      </w:r>
      <w:bookmarkEnd w:id="18"/>
    </w:p>
    <w:p w14:paraId="3D8B7158" w14:textId="77777777" w:rsidR="00CF4BD9" w:rsidRDefault="006912A3">
      <w:pPr>
        <w:pStyle w:val="ListParagraph"/>
        <w:numPr>
          <w:ilvl w:val="0"/>
          <w:numId w:val="1"/>
        </w:numPr>
        <w:spacing w:after="80"/>
      </w:pPr>
      <w:r>
        <w:t>The choice was made by the implementer without consulting the specification author, on the grounds that no house language existed and the specifications were silent on the matter. It was flagged at the time and is recorded here so it can be challenged on the evidence.</w:t>
      </w:r>
    </w:p>
    <w:p w14:paraId="29880E6B" w14:textId="77777777" w:rsidR="00CF4BD9" w:rsidRDefault="006912A3">
      <w:pPr>
        <w:pStyle w:val="ListParagraph"/>
        <w:numPr>
          <w:ilvl w:val="0"/>
          <w:numId w:val="1"/>
        </w:numPr>
        <w:spacing w:after="80"/>
      </w:pPr>
      <w:r>
        <w:lastRenderedPageBreak/>
        <w:t xml:space="preserve">Solution §2.2 describes L1 (CLI) as *explicitly untrusted for correctness*, and L2 (policy engine) as the single implementation the gates rely on. That separation is what makes a future split viable: L2 could be reimplemented in a compiled language and shipped as the binary the specification calls for, while L1 stays in Node. The current implementation keeps that seam intact — </w:t>
      </w:r>
      <w:r>
        <w:rPr>
          <w:rFonts w:ascii="Consolas" w:hAnsi="Consolas"/>
          <w:sz w:val="19"/>
          <w:shd w:val="clear" w:color="auto" w:fill="F2F2F2"/>
        </w:rPr>
        <w:t>src/policy.js</w:t>
      </w:r>
      <w:r>
        <w:t xml:space="preserve"> has no terminal-formatting or argument-parsing code in it.</w:t>
      </w:r>
    </w:p>
    <w:sectPr w:rsidR="00CF4BD9">
      <w:footerReference w:type="default" r:id="rId7"/>
      <w:pgSz w:w="12240" w:h="15840"/>
      <w:pgMar w:top="1418" w:right="1276" w:bottom="1418" w:left="1276" w:header="709"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5D8CB" w14:textId="77777777" w:rsidR="006912A3" w:rsidRDefault="006912A3">
      <w:pPr>
        <w:spacing w:after="0" w:line="240" w:lineRule="auto"/>
      </w:pPr>
      <w:r>
        <w:separator/>
      </w:r>
    </w:p>
  </w:endnote>
  <w:endnote w:type="continuationSeparator" w:id="0">
    <w:p w14:paraId="66398728" w14:textId="77777777" w:rsidR="006912A3" w:rsidRDefault="00691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11EB" w14:textId="77777777" w:rsidR="00CF4BD9" w:rsidRDefault="006912A3">
    <w:pPr>
      <w:pBdr>
        <w:top w:val="single" w:sz="4" w:space="6" w:color="D6DCE5"/>
      </w:pBdr>
      <w:tabs>
        <w:tab w:val="right" w:pos="9639"/>
      </w:tabs>
      <w:spacing w:after="0" w:line="240" w:lineRule="auto"/>
      <w:rPr>
        <w:color w:val="7F7F7F"/>
        <w:sz w:val="17"/>
      </w:rPr>
    </w:pPr>
    <w:r>
      <w:rPr>
        <w:color w:val="7F7F7F"/>
        <w:sz w:val="17"/>
      </w:rPr>
      <w:t>ADR-0001 — Implementation Language</w:t>
    </w:r>
    <w:r>
      <w:rPr>
        <w:color w:val="7F7F7F"/>
        <w:sz w:val="17"/>
      </w:rPr>
      <w:tab/>
      <w:t xml:space="preserve">Page </w:t>
    </w:r>
    <w:r>
      <w:fldChar w:fldCharType="begin"/>
    </w:r>
    <w:r>
      <w:instrText xml:space="preserve"> PAGE </w:instrText>
    </w:r>
    <w:r>
      <w:fldChar w:fldCharType="separate"/>
    </w:r>
    <w:r>
      <w:rPr>
        <w:color w:val="7F7F7F"/>
        <w:sz w:val="17"/>
      </w:rPr>
      <w:t>1</w:t>
    </w:r>
    <w:r>
      <w:fldChar w:fldCharType="end"/>
    </w:r>
    <w:r>
      <w:rPr>
        <w:color w:val="7F7F7F"/>
        <w:sz w:val="17"/>
      </w:rPr>
      <w:t xml:space="preserve"> of </w:t>
    </w:r>
    <w:r>
      <w:fldChar w:fldCharType="begin"/>
    </w:r>
    <w:r>
      <w:instrText xml:space="preserve"> NUMPAGES </w:instrText>
    </w:r>
    <w:r>
      <w:fldChar w:fldCharType="separate"/>
    </w:r>
    <w:r>
      <w:rPr>
        <w:color w:val="7F7F7F"/>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E106E" w14:textId="77777777" w:rsidR="006912A3" w:rsidRDefault="006912A3">
      <w:pPr>
        <w:spacing w:after="0" w:line="240" w:lineRule="auto"/>
      </w:pPr>
      <w:r>
        <w:separator/>
      </w:r>
    </w:p>
  </w:footnote>
  <w:footnote w:type="continuationSeparator" w:id="0">
    <w:p w14:paraId="4711D5D8" w14:textId="77777777" w:rsidR="006912A3" w:rsidRDefault="00691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0597"/>
    <w:multiLevelType w:val="singleLevel"/>
    <w:tmpl w:val="4A96CCF6"/>
    <w:lvl w:ilvl="0">
      <w:start w:val="1"/>
      <w:numFmt w:val="decimal"/>
      <w:lvlText w:val="%1."/>
      <w:lvlJc w:val="left"/>
      <w:pPr>
        <w:ind w:left="454" w:hanging="454"/>
      </w:pPr>
      <w:rPr>
        <w:b/>
        <w:color w:val="2E5496"/>
      </w:rPr>
    </w:lvl>
  </w:abstractNum>
  <w:abstractNum w:abstractNumId="1" w15:restartNumberingAfterBreak="0">
    <w:nsid w:val="22BD6B46"/>
    <w:multiLevelType w:val="hybridMultilevel"/>
    <w:tmpl w:val="8FE82E6C"/>
    <w:lvl w:ilvl="0" w:tplc="712296A8">
      <w:start w:val="1"/>
      <w:numFmt w:val="bullet"/>
      <w:lvlText w:val="•"/>
      <w:lvlJc w:val="left"/>
      <w:pPr>
        <w:ind w:left="360" w:hanging="360"/>
      </w:pPr>
      <w:rPr>
        <w:rFonts w:ascii="Symbol" w:hAnsi="Symbol" w:hint="default"/>
        <w:color w:val="2E5496"/>
      </w:rPr>
    </w:lvl>
    <w:lvl w:ilvl="1" w:tplc="2FCC27FC">
      <w:start w:val="1"/>
      <w:numFmt w:val="bullet"/>
      <w:lvlText w:val="o"/>
      <w:lvlJc w:val="left"/>
      <w:pPr>
        <w:ind w:left="720" w:hanging="360"/>
      </w:pPr>
      <w:rPr>
        <w:rFonts w:ascii="Courier New" w:hAnsi="Courier New" w:hint="default"/>
        <w:color w:val="2E5496"/>
      </w:rPr>
    </w:lvl>
    <w:lvl w:ilvl="2" w:tplc="3510FAA4">
      <w:start w:val="1"/>
      <w:numFmt w:val="bullet"/>
      <w:lvlText w:val="▪"/>
      <w:lvlJc w:val="left"/>
      <w:pPr>
        <w:ind w:left="1080" w:hanging="360"/>
      </w:pPr>
      <w:rPr>
        <w:rFonts w:ascii="Wingdings" w:hAnsi="Wingdings" w:hint="default"/>
        <w:color w:val="2E5496"/>
      </w:rPr>
    </w:lvl>
    <w:lvl w:ilvl="3" w:tplc="2228AF46">
      <w:numFmt w:val="decimal"/>
      <w:lvlText w:val=""/>
      <w:lvlJc w:val="left"/>
    </w:lvl>
    <w:lvl w:ilvl="4" w:tplc="A24A8DCC">
      <w:numFmt w:val="decimal"/>
      <w:lvlText w:val=""/>
      <w:lvlJc w:val="left"/>
    </w:lvl>
    <w:lvl w:ilvl="5" w:tplc="565EA502">
      <w:numFmt w:val="decimal"/>
      <w:lvlText w:val=""/>
      <w:lvlJc w:val="left"/>
    </w:lvl>
    <w:lvl w:ilvl="6" w:tplc="C360AC88">
      <w:numFmt w:val="decimal"/>
      <w:lvlText w:val=""/>
      <w:lvlJc w:val="left"/>
    </w:lvl>
    <w:lvl w:ilvl="7" w:tplc="76901742">
      <w:numFmt w:val="decimal"/>
      <w:lvlText w:val=""/>
      <w:lvlJc w:val="left"/>
    </w:lvl>
    <w:lvl w:ilvl="8" w:tplc="7CBA6FDC">
      <w:numFmt w:val="decimal"/>
      <w:lvlText w:val=""/>
      <w:lvlJc w:val="left"/>
    </w:lvl>
  </w:abstractNum>
  <w:num w:numId="1" w16cid:durableId="1662196589">
    <w:abstractNumId w:val="1"/>
  </w:num>
  <w:num w:numId="2" w16cid:durableId="43837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BD9"/>
    <w:rsid w:val="00024092"/>
    <w:rsid w:val="006912A3"/>
    <w:rsid w:val="00A707E4"/>
    <w:rsid w:val="00CF4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010E5"/>
  <w15:docId w15:val="{E92ECDB2-21D4-4357-B6CE-3C139E9F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50" w:line="26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6" w:space="6" w:color="C7D3E8"/>
      </w:pBdr>
      <w:spacing w:before="440" w:after="180" w:line="240" w:lineRule="auto"/>
      <w:outlineLvl w:val="0"/>
    </w:pPr>
    <w:rPr>
      <w:rFonts w:ascii="Calibri Light" w:hAnsi="Calibri Light"/>
      <w:b/>
      <w:color w:val="1F3864"/>
      <w:sz w:val="32"/>
    </w:rPr>
  </w:style>
  <w:style w:type="paragraph" w:styleId="Heading2">
    <w:name w:val="heading 2"/>
    <w:basedOn w:val="Normal"/>
    <w:next w:val="Normal"/>
    <w:uiPriority w:val="9"/>
    <w:unhideWhenUsed/>
    <w:qFormat/>
    <w:pPr>
      <w:keepNext/>
      <w:keepLines/>
      <w:spacing w:before="320" w:after="120" w:line="240" w:lineRule="auto"/>
      <w:outlineLvl w:val="1"/>
    </w:pPr>
    <w:rPr>
      <w:rFonts w:ascii="Calibri Light" w:hAnsi="Calibri Light"/>
      <w:b/>
      <w:color w:val="2E5496"/>
      <w:sz w:val="26"/>
    </w:rPr>
  </w:style>
  <w:style w:type="paragraph" w:styleId="Heading3">
    <w:name w:val="heading 3"/>
    <w:basedOn w:val="Normal"/>
    <w:next w:val="Normal"/>
    <w:uiPriority w:val="9"/>
    <w:semiHidden/>
    <w:unhideWhenUsed/>
    <w:qFormat/>
    <w:pPr>
      <w:keepNext/>
      <w:keepLines/>
      <w:spacing w:before="260" w:after="100" w:line="240" w:lineRule="auto"/>
      <w:outlineLvl w:val="2"/>
    </w:pPr>
    <w:rPr>
      <w:b/>
      <w:color w:val="44546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60" w:line="240" w:lineRule="auto"/>
      <w:contextualSpacing/>
    </w:pPr>
    <w:rPr>
      <w:rFonts w:ascii="Calibri Light" w:hAnsi="Calibri Light"/>
      <w:b/>
      <w:color w:val="1F3864"/>
      <w:spacing w:val="-6"/>
      <w:sz w:val="48"/>
    </w:rPr>
  </w:style>
  <w:style w:type="paragraph" w:styleId="Subtitle">
    <w:name w:val="Subtitle"/>
    <w:basedOn w:val="Normal"/>
    <w:uiPriority w:val="11"/>
    <w:qFormat/>
    <w:pPr>
      <w:pBdr>
        <w:bottom w:val="single" w:sz="6" w:space="8" w:color="8EAADB"/>
      </w:pBdr>
      <w:spacing w:after="340"/>
    </w:pPr>
    <w:rPr>
      <w:color w:val="5B6B84"/>
    </w:rPr>
  </w:style>
  <w:style w:type="paragraph" w:styleId="TOCHeading">
    <w:name w:val="TOC Heading"/>
    <w:basedOn w:val="Normal"/>
    <w:next w:val="Normal"/>
    <w:pPr>
      <w:keepNext/>
      <w:spacing w:before="240" w:after="140" w:line="240" w:lineRule="auto"/>
    </w:pPr>
    <w:rPr>
      <w:rFonts w:ascii="Calibri Light" w:hAnsi="Calibri Light"/>
      <w:b/>
      <w:color w:val="1F3864"/>
      <w:sz w:val="28"/>
    </w:rPr>
  </w:style>
  <w:style w:type="paragraph" w:styleId="ListParagraph">
    <w:name w:val="List Paragraph"/>
    <w:basedOn w:val="Normal"/>
    <w:qFormat/>
    <w:pPr>
      <w:ind w:left="360"/>
      <w:contextualSpacing/>
    </w:pPr>
  </w:style>
  <w:style w:type="paragraph" w:customStyle="1" w:styleId="CodeBlock">
    <w:name w:val="Code Block"/>
    <w:basedOn w:val="Normal"/>
    <w:qFormat/>
    <w:pPr>
      <w:keepLines/>
      <w:shd w:val="clear" w:color="auto" w:fill="F5F7FA"/>
      <w:spacing w:after="0" w:line="240" w:lineRule="auto"/>
      <w:ind w:left="170"/>
    </w:pPr>
    <w:rPr>
      <w:rFonts w:ascii="Consolas" w:hAnsi="Consolas" w:cs="Consolas"/>
      <w:noProof/>
      <w:sz w:val="19"/>
    </w:rPr>
  </w:style>
  <w:style w:type="paragraph" w:customStyle="1" w:styleId="Callout">
    <w:name w:val="Callout"/>
    <w:basedOn w:val="Normal"/>
    <w:qFormat/>
    <w:pPr>
      <w:keepLines/>
      <w:pBdr>
        <w:left w:val="single" w:sz="18" w:space="8" w:color="1F3864"/>
      </w:pBdr>
      <w:shd w:val="clear" w:color="auto" w:fill="EEF2F9"/>
      <w:spacing w:before="160" w:after="220"/>
      <w:ind w:left="170" w:right="170"/>
    </w:pPr>
    <w:rPr>
      <w:color w:val="1F3864"/>
    </w:rPr>
  </w:style>
  <w:style w:type="paragraph" w:styleId="Caption">
    <w:name w:val="caption"/>
    <w:basedOn w:val="Normal"/>
    <w:qFormat/>
    <w:pPr>
      <w:keepNext/>
      <w:spacing w:before="60" w:after="100" w:line="240" w:lineRule="auto"/>
    </w:pPr>
    <w:rPr>
      <w:i/>
      <w:color w:val="7F7F7F"/>
      <w:sz w:val="19"/>
    </w:rPr>
  </w:style>
  <w:style w:type="paragraph" w:styleId="TOC1">
    <w:name w:val="toc 1"/>
    <w:basedOn w:val="Normal"/>
    <w:next w:val="Normal"/>
    <w:autoRedefine/>
    <w:uiPriority w:val="39"/>
    <w:unhideWhenUsed/>
    <w:rsid w:val="00A707E4"/>
    <w:pPr>
      <w:spacing w:after="100"/>
    </w:pPr>
  </w:style>
  <w:style w:type="paragraph" w:styleId="TOC2">
    <w:name w:val="toc 2"/>
    <w:basedOn w:val="Normal"/>
    <w:next w:val="Normal"/>
    <w:autoRedefine/>
    <w:uiPriority w:val="39"/>
    <w:unhideWhenUsed/>
    <w:rsid w:val="00A707E4"/>
    <w:pPr>
      <w:spacing w:after="100"/>
      <w:ind w:left="220"/>
    </w:pPr>
  </w:style>
  <w:style w:type="character" w:styleId="Hyperlink">
    <w:name w:val="Hyperlink"/>
    <w:basedOn w:val="DefaultParagraphFont"/>
    <w:uiPriority w:val="99"/>
    <w:unhideWhenUsed/>
    <w:rsid w:val="00A707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1891</Words>
  <Characters>10096</Characters>
  <Application>Microsoft Office Word</Application>
  <DocSecurity>0</DocSecurity>
  <Lines>252</Lines>
  <Paragraphs>126</Paragraphs>
  <ScaleCrop>false</ScaleCrop>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ADR-0001 — Implementation Language</dc:title>
  <dc:subject>Why the WAS-Poly-Repo Coordination Tool is written in Node.js, and when to revisit that</dc:subject>
  <dc:creator>Sithara Wanigasooriya</dc:creator>
  <cp:lastModifiedBy>Sithara Wanigasooriya</cp:lastModifiedBy>
  <cp:revision>5</cp:revision>
  <dcterms:created xsi:type="dcterms:W3CDTF">2026-08-29T13:14:00Z</dcterms:created>
  <dcterms:modified xsi:type="dcterms:W3CDTF">2026-08-29T17:08:00Z</dcterms:modified>
</cp:coreProperties>
</file>