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D0AC2" w14:textId="77777777" w:rsidR="00D9259E" w:rsidRDefault="00773B29">
      <w:pPr>
        <w:pStyle w:val="Title"/>
      </w:pPr>
      <w:r>
        <w:t>WAS-Poly-Repo Coordination Tool</w:t>
      </w:r>
    </w:p>
    <w:p w14:paraId="30B2A89E" w14:textId="77777777" w:rsidR="00D9259E" w:rsidRDefault="00773B29">
      <w:pPr>
        <w:pStyle w:val="Subtitle"/>
      </w:pPr>
      <w:r>
        <w:t>Problem Definition  •  Version 1  •  Pre-implementation</w:t>
      </w:r>
    </w:p>
    <w:p w14:paraId="50FB7DDA" w14:textId="77777777" w:rsidR="00D9259E" w:rsidRDefault="00773B29">
      <w:pPr>
        <w:pStyle w:val="TOCHeading"/>
      </w:pPr>
      <w:r>
        <w:t>Contents</w:t>
      </w:r>
    </w:p>
    <w:p w14:paraId="013858D6" w14:textId="2D5409E8" w:rsidR="002F313A" w:rsidRDefault="00773B29">
      <w:pPr>
        <w:pStyle w:val="TOC1"/>
        <w:tabs>
          <w:tab w:val="right" w:leader="dot" w:pos="96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8922714" w:history="1">
        <w:r w:rsidR="002F313A" w:rsidRPr="007718AB">
          <w:rPr>
            <w:rStyle w:val="Hyperlink"/>
            <w:noProof/>
          </w:rPr>
          <w:t>0. The scope decision, answered first</w:t>
        </w:r>
        <w:r w:rsidR="002F313A">
          <w:rPr>
            <w:noProof/>
            <w:webHidden/>
          </w:rPr>
          <w:tab/>
        </w:r>
        <w:r w:rsidR="002F313A">
          <w:rPr>
            <w:noProof/>
            <w:webHidden/>
          </w:rPr>
          <w:fldChar w:fldCharType="begin"/>
        </w:r>
        <w:r w:rsidR="002F313A">
          <w:rPr>
            <w:noProof/>
            <w:webHidden/>
          </w:rPr>
          <w:instrText xml:space="preserve"> PAGEREF _Toc238922714 \h </w:instrText>
        </w:r>
        <w:r w:rsidR="002F313A">
          <w:rPr>
            <w:noProof/>
            <w:webHidden/>
          </w:rPr>
        </w:r>
        <w:r w:rsidR="002F313A">
          <w:rPr>
            <w:noProof/>
            <w:webHidden/>
          </w:rPr>
          <w:fldChar w:fldCharType="separate"/>
        </w:r>
        <w:r w:rsidR="002F313A">
          <w:rPr>
            <w:noProof/>
            <w:webHidden/>
          </w:rPr>
          <w:t>2</w:t>
        </w:r>
        <w:r w:rsidR="002F313A">
          <w:rPr>
            <w:noProof/>
            <w:webHidden/>
          </w:rPr>
          <w:fldChar w:fldCharType="end"/>
        </w:r>
      </w:hyperlink>
    </w:p>
    <w:p w14:paraId="69B4B414" w14:textId="62DCCBAD" w:rsidR="002F313A" w:rsidRDefault="002F313A">
      <w:pPr>
        <w:pStyle w:val="TOC1"/>
        <w:tabs>
          <w:tab w:val="right" w:leader="dot" w:pos="96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8922715" w:history="1">
        <w:r w:rsidRPr="007718AB">
          <w:rPr>
            <w:rStyle w:val="Hyperlink"/>
            <w:noProof/>
          </w:rPr>
          <w:t>1. Finalised problem 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_Toc238922715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6D45CA" w14:textId="53DAD492" w:rsidR="002F313A" w:rsidRDefault="002F313A">
      <w:pPr>
        <w:pStyle w:val="TOC2"/>
        <w:tabs>
          <w:tab w:val="right" w:leader="dot" w:pos="96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8922716" w:history="1">
        <w:r w:rsidRPr="007718AB">
          <w:rPr>
            <w:rStyle w:val="Hyperlink"/>
            <w:noProof/>
          </w:rPr>
          <w:t>1.1 Domain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_Toc238922716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1B3E01" w14:textId="2E46E039" w:rsidR="002F313A" w:rsidRDefault="002F313A">
      <w:pPr>
        <w:pStyle w:val="TOC2"/>
        <w:tabs>
          <w:tab w:val="right" w:leader="dot" w:pos="96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8922717" w:history="1">
        <w:r w:rsidRPr="007718AB">
          <w:rPr>
            <w:rStyle w:val="Hyperlink"/>
            <w:noProof/>
          </w:rPr>
          <w:t>1.2 Invariants (the definition of “correct”)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_Toc238922717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26B495" w14:textId="678003A2" w:rsidR="002F313A" w:rsidRDefault="002F313A">
      <w:pPr>
        <w:pStyle w:val="TOC2"/>
        <w:tabs>
          <w:tab w:val="right" w:leader="dot" w:pos="96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8922718" w:history="1">
        <w:r w:rsidRPr="007718AB">
          <w:rPr>
            <w:rStyle w:val="Hyperlink"/>
            <w:noProof/>
          </w:rPr>
          <w:t>1.3 Failure taxonomy — how this actually 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_Toc238922718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EA9AAA" w14:textId="0064AD37" w:rsidR="002F313A" w:rsidRDefault="002F313A">
      <w:pPr>
        <w:pStyle w:val="TOC2"/>
        <w:tabs>
          <w:tab w:val="right" w:leader="dot" w:pos="96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8922719" w:history="1">
        <w:r w:rsidRPr="007718AB">
          <w:rPr>
            <w:rStyle w:val="Hyperlink"/>
            <w:noProof/>
          </w:rPr>
          <w:t>1.4 Explicit non-goals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_Toc238922719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120A3F" w14:textId="593C19C3" w:rsidR="00D9259E" w:rsidRDefault="00773B29">
      <w:pPr>
        <w:tabs>
          <w:tab w:val="right" w:leader="dot" w:pos="9639"/>
        </w:tabs>
      </w:pPr>
      <w:r>
        <w:fldChar w:fldCharType="end"/>
      </w:r>
    </w:p>
    <w:p w14:paraId="382010B1" w14:textId="77777777" w:rsidR="00D9259E" w:rsidRDefault="00773B29">
      <w:pPr>
        <w:spacing w:after="0"/>
      </w:pPr>
      <w:r>
        <w:br w:type="page"/>
      </w:r>
    </w:p>
    <w:p w14:paraId="412D2F3E" w14:textId="77777777" w:rsidR="00D9259E" w:rsidRDefault="00773B29">
      <w:pPr>
        <w:pStyle w:val="Heading1"/>
      </w:pPr>
      <w:bookmarkStart w:id="0" w:name="_Toc238922714"/>
      <w:r>
        <w:lastRenderedPageBreak/>
        <w:t>0. The scope decision, answered first</w:t>
      </w:r>
      <w:bookmarkEnd w:id="0"/>
    </w:p>
    <w:p w14:paraId="7D7A284C" w14:textId="77777777" w:rsidR="00D9259E" w:rsidRDefault="00773B29">
      <w:r>
        <w:t xml:space="preserve">Two paths were on the table. </w:t>
      </w:r>
      <w:r>
        <w:rPr>
          <w:b/>
        </w:rPr>
        <w:t>Path A</w:t>
      </w:r>
      <w:r>
        <w:t xml:space="preserve"> keeps the poly-repo topology and builds tooling that makes a cross-repo change set safe. </w:t>
      </w:r>
      <w:r>
        <w:rPr>
          <w:b/>
        </w:rPr>
        <w:t>Path B</w:t>
      </w:r>
      <w:r>
        <w:t xml:space="preserve"> treats the coupling itself as the defect and migrates toward a monorepo. The answer is </w:t>
      </w:r>
      <w:r>
        <w:rPr>
          <w:b/>
        </w:rPr>
        <w:t>Path A</w:t>
      </w:r>
      <w:r>
        <w:t xml:space="preserve"> — but not the weak version of A.</w:t>
      </w:r>
    </w:p>
    <w:p w14:paraId="5268F673" w14:textId="77777777" w:rsidR="00D9259E" w:rsidRDefault="00773B29">
      <w:r>
        <w:t>Distributed systems hit this exact wall constantly: you cannot run two-phase commit across systems you do not own. The answer there is not “write a runbook.” It is a saga — an explicit state machine, idempotent steps, compensating actions, and an authoritative journal — plus gates that make illegal states unmergeable.</w:t>
      </w:r>
    </w:p>
    <w:p w14:paraId="1FC389F3" w14:textId="77777777" w:rsidR="00D9259E" w:rsidRDefault="00773B29">
      <w:r>
        <w:t>The critical realisation is that the dangerous predicate is locally checkable at merge time:</w:t>
      </w:r>
    </w:p>
    <w:p w14:paraId="2B8FDF88" w14:textId="77777777" w:rsidR="00D9259E" w:rsidRDefault="00773B29">
      <w:pPr>
        <w:pStyle w:val="Callout"/>
      </w:pPr>
      <w:r>
        <w:t>“Is every submodule SHA in this root commit reachable from that submodule’s protected branch?”</w:t>
      </w:r>
    </w:p>
    <w:p w14:paraId="497F3D59" w14:textId="77777777" w:rsidR="00D9259E" w:rsidRDefault="00773B29">
      <w:r>
        <w:t>That is a pure question about Git state. No trust in CI or review is required to answer it. Which means the thing you feared cannot be automated — “did submodule X’s PR actually merge cleanly” — does not need to be answered at all. You replace it with “is X’s commit now permanently part of X’s history,” which is decidable, cheap, and enforceable as a required status check.</w:t>
      </w:r>
    </w:p>
    <w:p w14:paraId="31614A1D" w14:textId="77777777" w:rsidR="00D9259E" w:rsidRDefault="00773B29">
      <w:r>
        <w:t>So the honest boundary is:</w:t>
      </w:r>
    </w:p>
    <w:tbl>
      <w:tblPr>
        <w:tblW w:w="92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5100"/>
        <w:gridCol w:w="4180"/>
      </w:tblGrid>
      <w:tr w:rsidR="00D9259E" w14:paraId="531760B4" w14:textId="77777777">
        <w:trPr>
          <w:cantSplit/>
          <w:tblHeader/>
        </w:trPr>
        <w:tc>
          <w:tcPr>
            <w:tcW w:w="5100" w:type="dxa"/>
            <w:shd w:val="clear" w:color="auto" w:fill="1F3864"/>
            <w:vAlign w:val="center"/>
          </w:tcPr>
          <w:p w14:paraId="7C64F8A6" w14:textId="77777777" w:rsidR="00D9259E" w:rsidRDefault="00773B29">
            <w:pPr>
              <w:spacing w:before="50" w:after="50" w:line="240" w:lineRule="auto"/>
            </w:pPr>
            <w:r>
              <w:rPr>
                <w:b/>
                <w:color w:val="FFFFFF"/>
                <w:sz w:val="21"/>
              </w:rPr>
              <w:t>Property</w:t>
            </w:r>
          </w:p>
        </w:tc>
        <w:tc>
          <w:tcPr>
            <w:tcW w:w="4180" w:type="dxa"/>
            <w:shd w:val="clear" w:color="auto" w:fill="1F3864"/>
            <w:vAlign w:val="center"/>
          </w:tcPr>
          <w:p w14:paraId="48A3E866" w14:textId="77777777" w:rsidR="00D9259E" w:rsidRDefault="00773B29">
            <w:pPr>
              <w:spacing w:before="50" w:after="50" w:line="240" w:lineRule="auto"/>
            </w:pPr>
            <w:r>
              <w:rPr>
                <w:b/>
                <w:color w:val="FFFFFF"/>
                <w:sz w:val="21"/>
              </w:rPr>
              <w:t>Achievable?</w:t>
            </w:r>
          </w:p>
        </w:tc>
      </w:tr>
      <w:tr w:rsidR="00D9259E" w14:paraId="57599E7F" w14:textId="77777777">
        <w:trPr>
          <w:cantSplit/>
        </w:trPr>
        <w:tc>
          <w:tcPr>
            <w:tcW w:w="5100" w:type="dxa"/>
            <w:vAlign w:val="center"/>
          </w:tcPr>
          <w:p w14:paraId="42E5B674" w14:textId="77777777" w:rsidR="00D9259E" w:rsidRDefault="00773B29">
            <w:pPr>
              <w:spacing w:before="50" w:after="50" w:line="240" w:lineRule="auto"/>
            </w:pPr>
            <w:r>
              <w:rPr>
                <w:b/>
                <w:sz w:val="21"/>
              </w:rPr>
              <w:t>Safety</w:t>
            </w:r>
            <w:r>
              <w:rPr>
                <w:sz w:val="21"/>
              </w:rPr>
              <w:t xml:space="preserve"> — the root’s protected branches never contain a pointer to an unmerged, rewritten, or unreachable commit</w:t>
            </w:r>
          </w:p>
        </w:tc>
        <w:tc>
          <w:tcPr>
            <w:tcW w:w="4180" w:type="dxa"/>
            <w:vAlign w:val="center"/>
          </w:tcPr>
          <w:p w14:paraId="01954A8C" w14:textId="77777777" w:rsidR="00D9259E" w:rsidRDefault="00773B29">
            <w:pPr>
              <w:spacing w:before="50" w:after="50" w:line="240" w:lineRule="auto"/>
            </w:pPr>
            <w:r>
              <w:rPr>
                <w:b/>
                <w:sz w:val="21"/>
              </w:rPr>
              <w:t>Yes, fully.</w:t>
            </w:r>
            <w:r>
              <w:rPr>
                <w:sz w:val="21"/>
              </w:rPr>
              <w:t xml:space="preserve"> Enforceable by a gate. This is where 90% of the real pain lives.</w:t>
            </w:r>
          </w:p>
        </w:tc>
      </w:tr>
      <w:tr w:rsidR="00D9259E" w14:paraId="73A13FD0" w14:textId="77777777">
        <w:trPr>
          <w:cantSplit/>
        </w:trPr>
        <w:tc>
          <w:tcPr>
            <w:tcW w:w="5100" w:type="dxa"/>
            <w:shd w:val="clear" w:color="auto" w:fill="F3F6FB"/>
            <w:vAlign w:val="center"/>
          </w:tcPr>
          <w:p w14:paraId="24224C7A" w14:textId="77777777" w:rsidR="00D9259E" w:rsidRDefault="00773B29">
            <w:pPr>
              <w:spacing w:before="50" w:after="50" w:line="240" w:lineRule="auto"/>
            </w:pPr>
            <w:r>
              <w:rPr>
                <w:b/>
                <w:sz w:val="21"/>
              </w:rPr>
              <w:t>Completion</w:t>
            </w:r>
            <w:r>
              <w:rPr>
                <w:sz w:val="21"/>
              </w:rPr>
              <w:t xml:space="preserve"> — a change set either lands entirely or is explicitly abandoned with compensation</w:t>
            </w:r>
          </w:p>
        </w:tc>
        <w:tc>
          <w:tcPr>
            <w:tcW w:w="4180" w:type="dxa"/>
            <w:shd w:val="clear" w:color="auto" w:fill="F3F6FB"/>
            <w:vAlign w:val="center"/>
          </w:tcPr>
          <w:p w14:paraId="52DC9732" w14:textId="77777777" w:rsidR="00D9259E" w:rsidRDefault="00773B29">
            <w:pPr>
              <w:spacing w:before="50" w:after="50" w:line="240" w:lineRule="auto"/>
            </w:pPr>
            <w:r>
              <w:rPr>
                <w:b/>
                <w:sz w:val="21"/>
              </w:rPr>
              <w:t>Yes</w:t>
            </w:r>
            <w:r>
              <w:rPr>
                <w:sz w:val="21"/>
              </w:rPr>
              <w:t>, via coordinator + journal + TTL.</w:t>
            </w:r>
          </w:p>
        </w:tc>
      </w:tr>
      <w:tr w:rsidR="00D9259E" w14:paraId="51FB752A" w14:textId="77777777">
        <w:trPr>
          <w:cantSplit/>
        </w:trPr>
        <w:tc>
          <w:tcPr>
            <w:tcW w:w="5100" w:type="dxa"/>
            <w:vAlign w:val="center"/>
          </w:tcPr>
          <w:p w14:paraId="0C1A08ED" w14:textId="77777777" w:rsidR="00D9259E" w:rsidRDefault="00773B29">
            <w:pPr>
              <w:spacing w:before="50" w:after="50" w:line="240" w:lineRule="auto"/>
            </w:pPr>
            <w:r>
              <w:rPr>
                <w:b/>
                <w:sz w:val="21"/>
              </w:rPr>
              <w:t>Atomicity</w:t>
            </w:r>
            <w:r>
              <w:rPr>
                <w:sz w:val="21"/>
              </w:rPr>
              <w:t xml:space="preserve"> — no observable window in which member A is merged and member B is not</w:t>
            </w:r>
          </w:p>
        </w:tc>
        <w:tc>
          <w:tcPr>
            <w:tcW w:w="4180" w:type="dxa"/>
            <w:vAlign w:val="center"/>
          </w:tcPr>
          <w:p w14:paraId="5DD51109" w14:textId="77777777" w:rsidR="00D9259E" w:rsidRDefault="00773B29">
            <w:pPr>
              <w:spacing w:before="50" w:after="50" w:line="240" w:lineRule="auto"/>
            </w:pPr>
            <w:r>
              <w:rPr>
                <w:b/>
                <w:sz w:val="21"/>
              </w:rPr>
              <w:t>No. Never.</w:t>
            </w:r>
            <w:r>
              <w:rPr>
                <w:sz w:val="21"/>
              </w:rPr>
              <w:t xml:space="preserve"> Physically impossible.</w:t>
            </w:r>
          </w:p>
        </w:tc>
      </w:tr>
    </w:tbl>
    <w:p w14:paraId="36CA9F81" w14:textId="77777777" w:rsidR="00D9259E" w:rsidRDefault="00D9259E">
      <w:pPr>
        <w:spacing w:after="0" w:line="140" w:lineRule="auto"/>
      </w:pPr>
    </w:p>
    <w:p w14:paraId="1655EA23" w14:textId="77777777" w:rsidR="00D9259E" w:rsidRDefault="00773B29">
      <w:r>
        <w:t xml:space="preserve">Because the third row is impossible, the tool’s job is to make that window </w:t>
      </w:r>
      <w:r>
        <w:rPr>
          <w:b/>
        </w:rPr>
        <w:t>survivable</w:t>
      </w:r>
      <w:r>
        <w:t xml:space="preserve"> rather than pretend to close it. That means each submodule commit must be independently safe to have merged alone — which is expand/contract, enforced as a merge precondition.</w:t>
      </w:r>
    </w:p>
    <w:p w14:paraId="7904051F" w14:textId="77777777" w:rsidR="00D9259E" w:rsidRDefault="00773B29">
      <w:r>
        <w:t>That is where B folds in. B is not the alternative path; it is the precondition that makes A safe, plus a long-term signal. The tool should therefore also measure co-change coupling and report when the poly-repo model has stopped paying for itself. You do not choose A or B — you build A, require the compatibility discipline B is really about, and instrument for the day B’s migration becomes correct.</w:t>
      </w:r>
    </w:p>
    <w:p w14:paraId="2A45703F" w14:textId="77777777" w:rsidR="00D9259E" w:rsidRDefault="00773B29">
      <w:pPr>
        <w:pStyle w:val="Heading1"/>
      </w:pPr>
      <w:bookmarkStart w:id="1" w:name="_Toc238922715"/>
      <w:r>
        <w:lastRenderedPageBreak/>
        <w:t>1. Finalised problem statement</w:t>
      </w:r>
      <w:bookmarkEnd w:id="1"/>
    </w:p>
    <w:p w14:paraId="44EFEFA3" w14:textId="77777777" w:rsidR="00D9259E" w:rsidRDefault="00773B29">
      <w:pPr>
        <w:pStyle w:val="Heading2"/>
      </w:pPr>
      <w:bookmarkStart w:id="2" w:name="_Toc238922716"/>
      <w:r>
        <w:t>1.1 Domain model</w:t>
      </w:r>
      <w:bookmarkEnd w:id="2"/>
    </w:p>
    <w:p w14:paraId="43C91662" w14:textId="77777777" w:rsidR="00D9259E" w:rsidRDefault="00773B29">
      <w:pPr>
        <w:pStyle w:val="ListParagraph"/>
        <w:numPr>
          <w:ilvl w:val="0"/>
          <w:numId w:val="1"/>
        </w:numPr>
        <w:spacing w:after="80"/>
      </w:pPr>
      <w:r>
        <w:rPr>
          <w:b/>
        </w:rPr>
        <w:t>Superproject</w:t>
      </w:r>
      <w:r>
        <w:t xml:space="preserve"> — the root repo. Its tracked state includes gitlinks: (path → submodule SHA) entries in the tree, plus </w:t>
      </w:r>
      <w:r>
        <w:rPr>
          <w:rFonts w:ascii="Consolas" w:hAnsi="Consolas"/>
          <w:sz w:val="19"/>
          <w:shd w:val="clear" w:color="auto" w:fill="F2F2F2"/>
        </w:rPr>
        <w:t>.gitmodules</w:t>
      </w:r>
      <w:r>
        <w:t xml:space="preserve"> metadata.</w:t>
      </w:r>
    </w:p>
    <w:p w14:paraId="146C8319" w14:textId="77777777" w:rsidR="00D9259E" w:rsidRDefault="00773B29">
      <w:pPr>
        <w:pStyle w:val="ListParagraph"/>
        <w:numPr>
          <w:ilvl w:val="0"/>
          <w:numId w:val="1"/>
        </w:numPr>
        <w:spacing w:after="80"/>
      </w:pPr>
      <w:r>
        <w:rPr>
          <w:b/>
        </w:rPr>
        <w:t>Member repo</w:t>
      </w:r>
      <w:r>
        <w:t xml:space="preserve"> — a submodule. Independently versioned, independently reviewed, independently protected.</w:t>
      </w:r>
    </w:p>
    <w:p w14:paraId="21EE133A" w14:textId="77777777" w:rsidR="00D9259E" w:rsidRDefault="00773B29">
      <w:pPr>
        <w:pStyle w:val="ListParagraph"/>
        <w:numPr>
          <w:ilvl w:val="0"/>
          <w:numId w:val="1"/>
        </w:numPr>
        <w:spacing w:after="80"/>
      </w:pPr>
      <w:r>
        <w:rPr>
          <w:b/>
        </w:rPr>
        <w:t>Gitlink</w:t>
      </w:r>
      <w:r>
        <w:t xml:space="preserve"> — a pointer to a commit in another repository. It references history, not content. It carries no guarantee that the target commit exists, is reachable, is permanent, or was ever reviewed.</w:t>
      </w:r>
    </w:p>
    <w:p w14:paraId="456453F0" w14:textId="77777777" w:rsidR="00D9259E" w:rsidRDefault="00773B29">
      <w:pPr>
        <w:pStyle w:val="ListParagraph"/>
        <w:numPr>
          <w:ilvl w:val="0"/>
          <w:numId w:val="1"/>
        </w:numPr>
        <w:spacing w:after="80"/>
      </w:pPr>
      <w:r>
        <w:rPr>
          <w:b/>
        </w:rPr>
        <w:t>ChangeSet</w:t>
      </w:r>
      <w:r>
        <w:t xml:space="preserve"> — the primitive Git is missing. One logical unit of change spanning the superproject and N member repos. Git has no name for this object, which is precisely why the process is manual: there is nothing to attach policy to. Everything below follows from creating it.</w:t>
      </w:r>
    </w:p>
    <w:p w14:paraId="34F4FD0C" w14:textId="77777777" w:rsidR="00D9259E" w:rsidRDefault="00773B29">
      <w:pPr>
        <w:pStyle w:val="Heading2"/>
      </w:pPr>
      <w:bookmarkStart w:id="3" w:name="_Toc238922717"/>
      <w:r>
        <w:t>1.2 Invariants (the definition of “correct”)</w:t>
      </w:r>
      <w:bookmarkEnd w:id="3"/>
    </w:p>
    <w:p w14:paraId="359C8D8D" w14:textId="77777777" w:rsidR="00D9259E" w:rsidRDefault="00773B29">
      <w:r>
        <w:t>These are the contract. Everything the tool does exists to uphold one of these.</w:t>
      </w:r>
    </w:p>
    <w:p w14:paraId="51EF2C0B" w14:textId="77777777" w:rsidR="00D9259E" w:rsidRDefault="00773B29">
      <w:pPr>
        <w:pStyle w:val="ListParagraph"/>
        <w:numPr>
          <w:ilvl w:val="0"/>
          <w:numId w:val="1"/>
        </w:numPr>
        <w:spacing w:after="80"/>
      </w:pPr>
      <w:r>
        <w:rPr>
          <w:b/>
        </w:rPr>
        <w:t>I1 — Referential integrity.</w:t>
      </w:r>
      <w:r>
        <w:t xml:space="preserve"> Every gitlink on a protected branch of the superproject points to a commit reachable from a protected branch of the corresponding member repo.</w:t>
      </w:r>
    </w:p>
    <w:p w14:paraId="5F798952" w14:textId="77777777" w:rsidR="00D9259E" w:rsidRDefault="00773B29">
      <w:pPr>
        <w:pStyle w:val="ListParagraph"/>
        <w:numPr>
          <w:ilvl w:val="0"/>
          <w:numId w:val="1"/>
        </w:numPr>
        <w:spacing w:after="80"/>
      </w:pPr>
      <w:r>
        <w:rPr>
          <w:b/>
        </w:rPr>
        <w:t>I2 — Durability.</w:t>
      </w:r>
      <w:r>
        <w:t xml:space="preserve"> Any commit referenced by a superproject commit is permanently retained and non-rewritable. (Reachability today ≠ reachability after a force-push or GC.)</w:t>
      </w:r>
    </w:p>
    <w:p w14:paraId="5495FB22" w14:textId="77777777" w:rsidR="00D9259E" w:rsidRDefault="00773B29">
      <w:pPr>
        <w:pStyle w:val="ListParagraph"/>
        <w:numPr>
          <w:ilvl w:val="0"/>
          <w:numId w:val="1"/>
        </w:numPr>
        <w:spacing w:after="80"/>
      </w:pPr>
      <w:r>
        <w:rPr>
          <w:b/>
        </w:rPr>
        <w:t>I3 — Review integrity.</w:t>
      </w:r>
      <w:r>
        <w:t xml:space="preserve"> Every referenced member commit passed that member repo’s own review and CI policy. The coordinator must never become a way to launder unreviewed code into production via a pointer bump.</w:t>
      </w:r>
    </w:p>
    <w:p w14:paraId="18D03A38" w14:textId="77777777" w:rsidR="00D9259E" w:rsidRDefault="00773B29">
      <w:pPr>
        <w:pStyle w:val="ListParagraph"/>
        <w:numPr>
          <w:ilvl w:val="0"/>
          <w:numId w:val="1"/>
        </w:numPr>
        <w:spacing w:after="80"/>
      </w:pPr>
      <w:r>
        <w:rPr>
          <w:b/>
        </w:rPr>
        <w:t>I4 — Buildability.</w:t>
      </w:r>
      <w:r>
        <w:t xml:space="preserve"> Every superproject commit on a protected branch composes into a build that passes integration CI. (This is what preserves bisectability — the thing that quietly dies in poly-repos.)</w:t>
      </w:r>
    </w:p>
    <w:p w14:paraId="07563B48" w14:textId="77777777" w:rsidR="00D9259E" w:rsidRDefault="00773B29">
      <w:pPr>
        <w:pStyle w:val="ListParagraph"/>
        <w:numPr>
          <w:ilvl w:val="0"/>
          <w:numId w:val="1"/>
        </w:numPr>
        <w:spacing w:after="80"/>
      </w:pPr>
      <w:r>
        <w:rPr>
          <w:b/>
        </w:rPr>
        <w:t>I5 — Independent safety.</w:t>
      </w:r>
      <w:r>
        <w:t xml:space="preserve"> Each member commit is backward-compatible with the last released state of its peers, so a partially-landed ChangeSet is degraded, not broken.</w:t>
      </w:r>
    </w:p>
    <w:p w14:paraId="122CF0D5" w14:textId="77777777" w:rsidR="00D9259E" w:rsidRDefault="00773B29">
      <w:pPr>
        <w:pStyle w:val="ListParagraph"/>
        <w:numPr>
          <w:ilvl w:val="0"/>
          <w:numId w:val="1"/>
        </w:numPr>
        <w:spacing w:after="80"/>
      </w:pPr>
      <w:r>
        <w:rPr>
          <w:b/>
        </w:rPr>
        <w:t>I6 — Manifest coherence.</w:t>
      </w:r>
      <w:r>
        <w:t xml:space="preserve"> </w:t>
      </w:r>
      <w:r>
        <w:rPr>
          <w:rFonts w:ascii="Consolas" w:hAnsi="Consolas"/>
          <w:sz w:val="19"/>
          <w:shd w:val="clear" w:color="auto" w:fill="F2F2F2"/>
        </w:rPr>
        <w:t>.gitmodules</w:t>
      </w:r>
      <w:r>
        <w:t>, the index gitlinks, and the ChangeSet manifest agree on paths, URLs, and branches.</w:t>
      </w:r>
    </w:p>
    <w:p w14:paraId="611FCD48" w14:textId="77777777" w:rsidR="00D9259E" w:rsidRDefault="00773B29">
      <w:pPr>
        <w:pStyle w:val="ListParagraph"/>
        <w:numPr>
          <w:ilvl w:val="0"/>
          <w:numId w:val="1"/>
        </w:numPr>
        <w:spacing w:after="80"/>
      </w:pPr>
      <w:r>
        <w:rPr>
          <w:b/>
        </w:rPr>
        <w:t>I7 — Reproducibility.</w:t>
      </w:r>
      <w:r>
        <w:t xml:space="preserve"> For any release, the exact (repo, SHA) set is recorded immutably and can be reconstructed byte-for-byte.</w:t>
      </w:r>
    </w:p>
    <w:p w14:paraId="1C131BF3" w14:textId="77777777" w:rsidR="00D9259E" w:rsidRDefault="00773B29">
      <w:pPr>
        <w:pStyle w:val="ListParagraph"/>
        <w:numPr>
          <w:ilvl w:val="0"/>
          <w:numId w:val="1"/>
        </w:numPr>
        <w:spacing w:after="80"/>
      </w:pPr>
      <w:r>
        <w:rPr>
          <w:b/>
        </w:rPr>
        <w:t>I8 — Auditability.</w:t>
      </w:r>
      <w:r>
        <w:t xml:space="preserve"> Every automated write (branch create, pointer bump, merge) is attributable to an identity, a ChangeSet, and an approving human decision.</w:t>
      </w:r>
    </w:p>
    <w:p w14:paraId="2423F61F" w14:textId="77777777" w:rsidR="00D9259E" w:rsidRDefault="00773B29">
      <w:pPr>
        <w:pStyle w:val="Heading2"/>
      </w:pPr>
      <w:bookmarkStart w:id="4" w:name="_Toc238922718"/>
      <w:r>
        <w:t>1.3 Failure taxonomy — how this actually breaks</w:t>
      </w:r>
      <w:bookmarkEnd w:id="4"/>
    </w:p>
    <w:p w14:paraId="12A5C99F" w14:textId="77777777" w:rsidR="00D9259E" w:rsidRDefault="00773B29">
      <w:r>
        <w:t>Grouped by root cause, because the mitigations group the same way. The numbering is continuous across all six categories and is referenced by the edge-case coverage map in the Solution Definition.</w:t>
      </w:r>
    </w:p>
    <w:p w14:paraId="7D34A1BD" w14:textId="77777777" w:rsidR="00D9259E" w:rsidRDefault="00773B29">
      <w:pPr>
        <w:pStyle w:val="Heading3"/>
      </w:pPr>
      <w:r>
        <w:t>A. Broken references (violates I1/I2)</w:t>
      </w:r>
    </w:p>
    <w:p w14:paraId="672DCCB7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rPr>
          <w:b/>
        </w:rPr>
        <w:t>Root merged before member PR</w:t>
      </w:r>
      <w:r>
        <w:t xml:space="preserve"> → the gitlink points at a PR-head SHA that is not on any branch.</w:t>
      </w:r>
    </w:p>
    <w:p w14:paraId="63136876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rPr>
          <w:b/>
        </w:rPr>
        <w:lastRenderedPageBreak/>
        <w:t>Squash/rebase merge changes the SHA.</w:t>
      </w:r>
      <w:r>
        <w:t xml:space="preserve"> The PR head commit is not what lands. Bumping to the PR head produces an immediately-orphaned pointer. This is the single most common silent failure and it is invisible until GC.</w:t>
      </w:r>
    </w:p>
    <w:p w14:paraId="7A9B6ADA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rPr>
          <w:b/>
        </w:rPr>
        <w:t>Member force-pushes or rewrites history</w:t>
      </w:r>
      <w:r>
        <w:t xml:space="preserve"> after the root pinned the SHA.</w:t>
      </w:r>
    </w:p>
    <w:p w14:paraId="375F344B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rPr>
          <w:b/>
        </w:rPr>
        <w:t>Member branch deleted post-merge</w:t>
      </w:r>
      <w:r>
        <w:t xml:space="preserve"> → unreachable commits pruned by GC. Hosted platforms are lenient here; self-hosted GHE/GitLab often are not.</w:t>
      </w:r>
    </w:p>
    <w:p w14:paraId="5A65E7E7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rPr>
          <w:b/>
        </w:rPr>
        <w:t>Member repo renamed, archived, transferred,</w:t>
      </w:r>
      <w:r>
        <w:t xml:space="preserve"> or its URL changed.</w:t>
      </w:r>
    </w:p>
    <w:p w14:paraId="127E6DC6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rPr>
          <w:b/>
        </w:rPr>
        <w:t>Fork-based PRs:</w:t>
      </w:r>
      <w:r>
        <w:t xml:space="preserve"> the commit lives in a repo you do not control and cannot protect.</w:t>
      </w:r>
    </w:p>
    <w:p w14:paraId="17460B24" w14:textId="77777777" w:rsidR="00D9259E" w:rsidRDefault="00773B29">
      <w:pPr>
        <w:pStyle w:val="Heading3"/>
      </w:pPr>
      <w:r>
        <w:t>B. Sequencing and concurrency</w:t>
      </w:r>
    </w:p>
    <w:p w14:paraId="75261F1E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t xml:space="preserve">Member PRs merge </w:t>
      </w:r>
      <w:r>
        <w:rPr>
          <w:b/>
        </w:rPr>
        <w:t>out of order</w:t>
      </w:r>
      <w:r>
        <w:t xml:space="preserve"> relative to their real dependencies.</w:t>
      </w:r>
    </w:p>
    <w:p w14:paraId="5284C732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t xml:space="preserve">Two ChangeSets </w:t>
      </w:r>
      <w:r>
        <w:rPr>
          <w:b/>
        </w:rPr>
        <w:t>bump the same member repo concurrently</w:t>
      </w:r>
      <w:r>
        <w:t xml:space="preserve"> → lost update or conflicting pointer.</w:t>
      </w:r>
    </w:p>
    <w:p w14:paraId="4ADAA866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t xml:space="preserve">Someone merges a member PR </w:t>
      </w:r>
      <w:r>
        <w:rPr>
          <w:b/>
        </w:rPr>
        <w:t>out-of-band</w:t>
      </w:r>
      <w:r>
        <w:t xml:space="preserve"> while the coordinator is mid-flight.</w:t>
      </w:r>
    </w:p>
    <w:p w14:paraId="417B25B9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t xml:space="preserve">The platform’s own </w:t>
      </w:r>
      <w:r>
        <w:rPr>
          <w:b/>
        </w:rPr>
        <w:t>merge queue rewrites SHAs</w:t>
      </w:r>
      <w:r>
        <w:t xml:space="preserve"> after the coordinator computed them.</w:t>
      </w:r>
    </w:p>
    <w:p w14:paraId="2C630DCA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rPr>
          <w:b/>
        </w:rPr>
        <w:t>Gitlink conflict in the root PR</w:t>
      </w:r>
      <w:r>
        <w:t xml:space="preserve"> — two branches bump the same path to different SHAs. Git surfaces this as an unmergeable conflict with no useful resolution UI.</w:t>
      </w:r>
    </w:p>
    <w:p w14:paraId="6F14C137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rPr>
          <w:b/>
        </w:rPr>
        <w:t>Cyclic dependency between members</w:t>
      </w:r>
      <w:r>
        <w:t xml:space="preserve"> (A needs B, B needs A) — unsatisfiable in any ordering; must be split.</w:t>
      </w:r>
    </w:p>
    <w:p w14:paraId="0A455C16" w14:textId="77777777" w:rsidR="00D9259E" w:rsidRDefault="00773B29">
      <w:pPr>
        <w:pStyle w:val="Heading3"/>
      </w:pPr>
      <w:r>
        <w:t>C. Partial completion</w:t>
      </w:r>
    </w:p>
    <w:p w14:paraId="21EA6A45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t>Member A merges; member B is rejected or abandoned → the root cannot land, and A is live alone.</w:t>
      </w:r>
    </w:p>
    <w:p w14:paraId="38FBAE56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rPr>
          <w:b/>
        </w:rPr>
        <w:t>Coordinator crashes mid-sequence</w:t>
      </w:r>
      <w:r>
        <w:t xml:space="preserve"> → indeterminate state.</w:t>
      </w:r>
    </w:p>
    <w:p w14:paraId="2A5BE7D8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rPr>
          <w:b/>
        </w:rPr>
        <w:t>ChangeSet abandoned entirely</w:t>
      </w:r>
      <w:r>
        <w:t xml:space="preserve"> → orphaned branches, stale pins, dangling PRs across N repos.</w:t>
      </w:r>
    </w:p>
    <w:p w14:paraId="22DA11B4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t xml:space="preserve">A shipped ChangeSet </w:t>
      </w:r>
      <w:r>
        <w:rPr>
          <w:b/>
        </w:rPr>
        <w:t>needs revert</w:t>
      </w:r>
      <w:r>
        <w:t xml:space="preserve"> → must be undone in reverse topological order, or the root is left pointing at reverted-away state.</w:t>
      </w:r>
    </w:p>
    <w:p w14:paraId="22E5DDC4" w14:textId="77777777" w:rsidR="00D9259E" w:rsidRDefault="00773B29">
      <w:pPr>
        <w:pStyle w:val="Heading3"/>
      </w:pPr>
      <w:r>
        <w:t>D. Fan-out and branch lifecycle</w:t>
      </w:r>
    </w:p>
    <w:p w14:paraId="67796498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rPr>
          <w:b/>
        </w:rPr>
        <w:t>Branch name already exists</w:t>
      </w:r>
      <w:r>
        <w:t xml:space="preserve"> in some members with an unrelated base.</w:t>
      </w:r>
    </w:p>
    <w:p w14:paraId="3715047E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t xml:space="preserve">Members with </w:t>
      </w:r>
      <w:r>
        <w:rPr>
          <w:b/>
        </w:rPr>
        <w:t>different default branch names</w:t>
      </w:r>
      <w:r>
        <w:t xml:space="preserve"> or different release cadences.</w:t>
      </w:r>
    </w:p>
    <w:p w14:paraId="3C5A377B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t xml:space="preserve">Fan-out to </w:t>
      </w:r>
      <w:r>
        <w:rPr>
          <w:b/>
        </w:rPr>
        <w:t>repos that do not participate</w:t>
      </w:r>
      <w:r>
        <w:t xml:space="preserve"> → dead branches nobody prunes.</w:t>
      </w:r>
    </w:p>
    <w:p w14:paraId="6C0F3E20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rPr>
          <w:b/>
        </w:rPr>
        <w:t>Long-lived release branches drift</w:t>
      </w:r>
      <w:r>
        <w:t xml:space="preserve"> from main across N repos at N different rates.</w:t>
      </w:r>
    </w:p>
    <w:p w14:paraId="1FCF46AA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rPr>
          <w:b/>
        </w:rPr>
        <w:t>Nested submodules</w:t>
      </w:r>
      <w:r>
        <w:t xml:space="preserve"> — depth &gt; 1 requires topological ordering, not a flat list.</w:t>
      </w:r>
    </w:p>
    <w:p w14:paraId="6DD6B71B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rPr>
          <w:b/>
        </w:rPr>
        <w:t>Same member repo mounted at two paths</w:t>
      </w:r>
      <w:r>
        <w:t xml:space="preserve"> in the superproject with divergent SHAs.</w:t>
      </w:r>
    </w:p>
    <w:p w14:paraId="613B6E5C" w14:textId="77777777" w:rsidR="00D9259E" w:rsidRDefault="00773B29">
      <w:pPr>
        <w:pStyle w:val="Heading3"/>
      </w:pPr>
      <w:r>
        <w:t>E. Local workspace (high-frequency, low-severity, morale-destroying)</w:t>
      </w:r>
    </w:p>
    <w:p w14:paraId="40059A76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rPr>
          <w:b/>
        </w:rPr>
        <w:t>Detached-HEAD submodules;</w:t>
      </w:r>
      <w:r>
        <w:t xml:space="preserve"> commits made on no branch and silently lost.</w:t>
      </w:r>
    </w:p>
    <w:p w14:paraId="32036EF2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rPr>
          <w:b/>
        </w:rPr>
        <w:t>Dirty/unstaged submodule trees</w:t>
      </w:r>
      <w:r>
        <w:t xml:space="preserve"> producing accidental pointer bumps or reverts.</w:t>
      </w:r>
    </w:p>
    <w:p w14:paraId="48C3F7BB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t xml:space="preserve">Someone commits a </w:t>
      </w:r>
      <w:r>
        <w:rPr>
          <w:b/>
        </w:rPr>
        <w:t>pointer regression</w:t>
      </w:r>
      <w:r>
        <w:t xml:space="preserve"> (bump backwards) without noticing.</w:t>
      </w:r>
    </w:p>
    <w:p w14:paraId="21039528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rPr>
          <w:b/>
        </w:rPr>
        <w:t>Clone/CI cost at scale;</w:t>
      </w:r>
      <w:r>
        <w:t xml:space="preserve"> nobody runs </w:t>
      </w:r>
      <w:r>
        <w:rPr>
          <w:rFonts w:ascii="Consolas" w:hAnsi="Consolas"/>
          <w:sz w:val="19"/>
          <w:shd w:val="clear" w:color="auto" w:fill="F2F2F2"/>
        </w:rPr>
        <w:t>--recurse-submodules</w:t>
      </w:r>
      <w:r>
        <w:t xml:space="preserve"> correctly.</w:t>
      </w:r>
    </w:p>
    <w:p w14:paraId="217DD94E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rPr>
          <w:b/>
        </w:rPr>
        <w:t>Relative vs absolute submodule URLs</w:t>
      </w:r>
      <w:r>
        <w:t xml:space="preserve"> breaking under forks or mirrors.</w:t>
      </w:r>
    </w:p>
    <w:p w14:paraId="74063A88" w14:textId="77777777" w:rsidR="00D9259E" w:rsidRDefault="00773B29">
      <w:pPr>
        <w:pStyle w:val="Heading3"/>
      </w:pPr>
      <w:r>
        <w:lastRenderedPageBreak/>
        <w:t>F. Enterprise / governance</w:t>
      </w:r>
    </w:p>
    <w:p w14:paraId="2E007243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t xml:space="preserve">Developers </w:t>
      </w:r>
      <w:r>
        <w:rPr>
          <w:b/>
        </w:rPr>
        <w:t>lack write access to every member repo</w:t>
      </w:r>
      <w:r>
        <w:t xml:space="preserve"> — automation needs an identity, and that identity must not become an approval bypass.</w:t>
      </w:r>
    </w:p>
    <w:p w14:paraId="622C3BBF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rPr>
          <w:b/>
        </w:rPr>
        <w:t>Credential scope and rotation;</w:t>
      </w:r>
      <w:r>
        <w:t xml:space="preserve"> long-lived PATs are unacceptable.</w:t>
      </w:r>
    </w:p>
    <w:p w14:paraId="55FCEC32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rPr>
          <w:b/>
        </w:rPr>
        <w:t>Self-hosted, air-gapped, or mirrored remotes</w:t>
      </w:r>
      <w:r>
        <w:t xml:space="preserve"> with URL rewriting.</w:t>
      </w:r>
    </w:p>
    <w:p w14:paraId="62FE23E3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rPr>
          <w:b/>
        </w:rPr>
        <w:t>Signed-commit / DCO / change-control requirements</w:t>
      </w:r>
      <w:r>
        <w:t xml:space="preserve"> applied to bot commits.</w:t>
      </w:r>
    </w:p>
    <w:p w14:paraId="4AB3A09E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rPr>
          <w:b/>
        </w:rPr>
        <w:t>Break-glass override</w:t>
      </w:r>
      <w:r>
        <w:t xml:space="preserve"> needed during incidents — and it must be auditable.</w:t>
      </w:r>
    </w:p>
    <w:p w14:paraId="6825AF7A" w14:textId="77777777" w:rsidR="00D9259E" w:rsidRDefault="00773B29">
      <w:pPr>
        <w:pStyle w:val="ListParagraph"/>
        <w:numPr>
          <w:ilvl w:val="0"/>
          <w:numId w:val="2"/>
        </w:numPr>
        <w:spacing w:after="80"/>
      </w:pPr>
      <w:r>
        <w:rPr>
          <w:b/>
        </w:rPr>
        <w:t>API rate limits,</w:t>
      </w:r>
      <w:r>
        <w:t xml:space="preserve"> flaky endpoints, partial writes.</w:t>
      </w:r>
    </w:p>
    <w:p w14:paraId="08C9D29C" w14:textId="77777777" w:rsidR="00D9259E" w:rsidRDefault="00773B29">
      <w:pPr>
        <w:pStyle w:val="Heading2"/>
      </w:pPr>
      <w:bookmarkStart w:id="5" w:name="_Toc238922719"/>
      <w:r>
        <w:t>1.4 Explicit non-goals</w:t>
      </w:r>
      <w:bookmarkEnd w:id="5"/>
    </w:p>
    <w:p w14:paraId="41A164BE" w14:textId="77777777" w:rsidR="00D9259E" w:rsidRDefault="00773B29">
      <w:pPr>
        <w:pStyle w:val="ListParagraph"/>
        <w:numPr>
          <w:ilvl w:val="0"/>
          <w:numId w:val="1"/>
        </w:numPr>
        <w:spacing w:after="80"/>
      </w:pPr>
      <w:r>
        <w:t>Not a build system, dependency resolver, or artifact/versioning tool.</w:t>
      </w:r>
    </w:p>
    <w:p w14:paraId="67A29E18" w14:textId="77777777" w:rsidR="00D9259E" w:rsidRDefault="00773B29">
      <w:pPr>
        <w:pStyle w:val="ListParagraph"/>
        <w:numPr>
          <w:ilvl w:val="0"/>
          <w:numId w:val="1"/>
        </w:numPr>
        <w:spacing w:after="80"/>
      </w:pPr>
      <w:r>
        <w:t>Not a Git replacement or a custom merge driver.</w:t>
      </w:r>
    </w:p>
    <w:p w14:paraId="6497ED16" w14:textId="77777777" w:rsidR="00D9259E" w:rsidRDefault="00773B29">
      <w:pPr>
        <w:pStyle w:val="ListParagraph"/>
        <w:numPr>
          <w:ilvl w:val="0"/>
          <w:numId w:val="1"/>
        </w:numPr>
        <w:spacing w:after="80"/>
      </w:pPr>
      <w:r>
        <w:t>Not a monorepo migration tool (it only produces the evidence for that decision).</w:t>
      </w:r>
    </w:p>
    <w:p w14:paraId="336F5430" w14:textId="77777777" w:rsidR="00D9259E" w:rsidRDefault="00773B29">
      <w:pPr>
        <w:pStyle w:val="ListParagraph"/>
        <w:numPr>
          <w:ilvl w:val="0"/>
          <w:numId w:val="1"/>
        </w:numPr>
        <w:spacing w:after="80"/>
      </w:pPr>
      <w:r>
        <w:rPr>
          <w:b/>
        </w:rPr>
        <w:t>Does not promise atomicity.</w:t>
      </w:r>
      <w:r>
        <w:t xml:space="preserve"> Any design that claims it is lying, and the docs must say so in the first paragraph.</w:t>
      </w:r>
    </w:p>
    <w:sectPr w:rsidR="00D9259E">
      <w:footerReference w:type="default" r:id="rId7"/>
      <w:pgSz w:w="12240" w:h="15840"/>
      <w:pgMar w:top="1418" w:right="1276" w:bottom="1418" w:left="1276" w:header="709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81068" w14:textId="77777777" w:rsidR="00773B29" w:rsidRDefault="00773B29">
      <w:pPr>
        <w:spacing w:after="0" w:line="240" w:lineRule="auto"/>
      </w:pPr>
      <w:r>
        <w:separator/>
      </w:r>
    </w:p>
  </w:endnote>
  <w:endnote w:type="continuationSeparator" w:id="0">
    <w:p w14:paraId="005440FE" w14:textId="77777777" w:rsidR="00773B29" w:rsidRDefault="00773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AE0F9" w14:textId="77777777" w:rsidR="00D9259E" w:rsidRDefault="00773B29">
    <w:pPr>
      <w:pBdr>
        <w:top w:val="single" w:sz="4" w:space="6" w:color="D6DCE5"/>
      </w:pBdr>
      <w:tabs>
        <w:tab w:val="right" w:pos="9639"/>
      </w:tabs>
      <w:spacing w:after="0" w:line="240" w:lineRule="auto"/>
      <w:rPr>
        <w:color w:val="7F7F7F"/>
        <w:sz w:val="17"/>
      </w:rPr>
    </w:pPr>
    <w:r>
      <w:rPr>
        <w:color w:val="7F7F7F"/>
        <w:sz w:val="17"/>
      </w:rPr>
      <w:t>WAS-Poly-Repo Coordination Tool — Problem Definition v1</w:t>
    </w:r>
    <w:r>
      <w:rPr>
        <w:color w:val="7F7F7F"/>
        <w:sz w:val="17"/>
      </w:rP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7F7F7F"/>
        <w:sz w:val="17"/>
      </w:rPr>
      <w:t>1</w:t>
    </w:r>
    <w:r>
      <w:fldChar w:fldCharType="end"/>
    </w:r>
    <w:r>
      <w:rPr>
        <w:color w:val="7F7F7F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color w:val="7F7F7F"/>
        <w:sz w:val="17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7D700" w14:textId="77777777" w:rsidR="00773B29" w:rsidRDefault="00773B29">
      <w:pPr>
        <w:spacing w:after="0" w:line="240" w:lineRule="auto"/>
      </w:pPr>
      <w:r>
        <w:separator/>
      </w:r>
    </w:p>
  </w:footnote>
  <w:footnote w:type="continuationSeparator" w:id="0">
    <w:p w14:paraId="7FF2CACD" w14:textId="77777777" w:rsidR="00773B29" w:rsidRDefault="00773B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06FBC"/>
    <w:multiLevelType w:val="hybridMultilevel"/>
    <w:tmpl w:val="97E840BE"/>
    <w:lvl w:ilvl="0" w:tplc="096A68A4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  <w:color w:val="2E5496"/>
      </w:rPr>
    </w:lvl>
    <w:lvl w:ilvl="1" w:tplc="CC64CFD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2E5496"/>
      </w:rPr>
    </w:lvl>
    <w:lvl w:ilvl="2" w:tplc="2BFCABDA">
      <w:start w:val="1"/>
      <w:numFmt w:val="bullet"/>
      <w:lvlText w:val="▪"/>
      <w:lvlJc w:val="left"/>
      <w:pPr>
        <w:ind w:left="1080" w:hanging="360"/>
      </w:pPr>
      <w:rPr>
        <w:rFonts w:ascii="Wingdings" w:hAnsi="Wingdings" w:hint="default"/>
        <w:color w:val="2E5496"/>
      </w:rPr>
    </w:lvl>
    <w:lvl w:ilvl="3" w:tplc="60620EF4">
      <w:numFmt w:val="decimal"/>
      <w:lvlText w:val=""/>
      <w:lvlJc w:val="left"/>
    </w:lvl>
    <w:lvl w:ilvl="4" w:tplc="08C005AA">
      <w:numFmt w:val="decimal"/>
      <w:lvlText w:val=""/>
      <w:lvlJc w:val="left"/>
    </w:lvl>
    <w:lvl w:ilvl="5" w:tplc="B638F62C">
      <w:numFmt w:val="decimal"/>
      <w:lvlText w:val=""/>
      <w:lvlJc w:val="left"/>
    </w:lvl>
    <w:lvl w:ilvl="6" w:tplc="B644BEBE">
      <w:numFmt w:val="decimal"/>
      <w:lvlText w:val=""/>
      <w:lvlJc w:val="left"/>
    </w:lvl>
    <w:lvl w:ilvl="7" w:tplc="0BDC6138">
      <w:numFmt w:val="decimal"/>
      <w:lvlText w:val=""/>
      <w:lvlJc w:val="left"/>
    </w:lvl>
    <w:lvl w:ilvl="8" w:tplc="290AF326">
      <w:numFmt w:val="decimal"/>
      <w:lvlText w:val=""/>
      <w:lvlJc w:val="left"/>
    </w:lvl>
  </w:abstractNum>
  <w:abstractNum w:abstractNumId="1" w15:restartNumberingAfterBreak="0">
    <w:nsid w:val="4AE91BA4"/>
    <w:multiLevelType w:val="singleLevel"/>
    <w:tmpl w:val="4A109542"/>
    <w:lvl w:ilvl="0">
      <w:start w:val="1"/>
      <w:numFmt w:val="decimal"/>
      <w:lvlText w:val="%1."/>
      <w:lvlJc w:val="left"/>
      <w:pPr>
        <w:ind w:left="454" w:hanging="454"/>
      </w:pPr>
      <w:rPr>
        <w:b/>
        <w:color w:val="2E5496"/>
      </w:rPr>
    </w:lvl>
  </w:abstractNum>
  <w:num w:numId="1" w16cid:durableId="1668050798">
    <w:abstractNumId w:val="0"/>
  </w:num>
  <w:num w:numId="2" w16cid:durableId="802236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59E"/>
    <w:rsid w:val="002F313A"/>
    <w:rsid w:val="00773B29"/>
    <w:rsid w:val="00B41D39"/>
    <w:rsid w:val="00D9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8C8367"/>
  <w15:docId w15:val="{70A444E1-C134-4BE7-BE9F-C4DFAD1F4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50" w:line="26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6" w:space="6" w:color="C7D3E8"/>
      </w:pBdr>
      <w:spacing w:before="440" w:after="180" w:line="240" w:lineRule="auto"/>
      <w:outlineLvl w:val="0"/>
    </w:pPr>
    <w:rPr>
      <w:rFonts w:ascii="Calibri Light" w:hAnsi="Calibri Light"/>
      <w:b/>
      <w:color w:val="1F3864"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after="120" w:line="240" w:lineRule="auto"/>
      <w:outlineLvl w:val="1"/>
    </w:pPr>
    <w:rPr>
      <w:rFonts w:ascii="Calibri Light" w:hAnsi="Calibri Light"/>
      <w:b/>
      <w:color w:val="2E5496"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60" w:after="100" w:line="240" w:lineRule="auto"/>
      <w:outlineLvl w:val="2"/>
    </w:pPr>
    <w:rPr>
      <w:b/>
      <w:color w:val="44546A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after="60" w:line="240" w:lineRule="auto"/>
      <w:contextualSpacing/>
    </w:pPr>
    <w:rPr>
      <w:rFonts w:ascii="Calibri Light" w:hAnsi="Calibri Light"/>
      <w:b/>
      <w:color w:val="1F3864"/>
      <w:spacing w:val="-6"/>
      <w:sz w:val="48"/>
    </w:rPr>
  </w:style>
  <w:style w:type="paragraph" w:styleId="Subtitle">
    <w:name w:val="Subtitle"/>
    <w:basedOn w:val="Normal"/>
    <w:uiPriority w:val="11"/>
    <w:qFormat/>
    <w:pPr>
      <w:pBdr>
        <w:bottom w:val="single" w:sz="6" w:space="8" w:color="8EAADB"/>
      </w:pBdr>
      <w:spacing w:after="340"/>
    </w:pPr>
    <w:rPr>
      <w:color w:val="5B6B84"/>
    </w:rPr>
  </w:style>
  <w:style w:type="paragraph" w:styleId="TOCHeading">
    <w:name w:val="TOC Heading"/>
    <w:basedOn w:val="Normal"/>
    <w:next w:val="Normal"/>
    <w:pPr>
      <w:keepNext/>
      <w:spacing w:before="240" w:after="140" w:line="240" w:lineRule="auto"/>
    </w:pPr>
    <w:rPr>
      <w:rFonts w:ascii="Calibri Light" w:hAnsi="Calibri Light"/>
      <w:b/>
      <w:color w:val="1F3864"/>
      <w:sz w:val="28"/>
    </w:rPr>
  </w:style>
  <w:style w:type="paragraph" w:styleId="ListParagraph">
    <w:name w:val="List Paragraph"/>
    <w:basedOn w:val="Normal"/>
    <w:qFormat/>
    <w:pPr>
      <w:ind w:left="360"/>
      <w:contextualSpacing/>
    </w:pPr>
  </w:style>
  <w:style w:type="paragraph" w:customStyle="1" w:styleId="CodeBlock">
    <w:name w:val="Code Block"/>
    <w:basedOn w:val="Normal"/>
    <w:qFormat/>
    <w:pPr>
      <w:keepLines/>
      <w:shd w:val="clear" w:color="auto" w:fill="F5F7FA"/>
      <w:spacing w:after="0" w:line="240" w:lineRule="auto"/>
      <w:ind w:left="170"/>
    </w:pPr>
    <w:rPr>
      <w:rFonts w:ascii="Consolas" w:hAnsi="Consolas" w:cs="Consolas"/>
      <w:noProof/>
      <w:sz w:val="19"/>
    </w:rPr>
  </w:style>
  <w:style w:type="paragraph" w:customStyle="1" w:styleId="Callout">
    <w:name w:val="Callout"/>
    <w:basedOn w:val="Normal"/>
    <w:qFormat/>
    <w:pPr>
      <w:keepLines/>
      <w:pBdr>
        <w:left w:val="single" w:sz="18" w:space="8" w:color="1F3864"/>
      </w:pBdr>
      <w:shd w:val="clear" w:color="auto" w:fill="EEF2F9"/>
      <w:spacing w:before="160" w:after="220"/>
      <w:ind w:left="170" w:right="170"/>
    </w:pPr>
    <w:rPr>
      <w:color w:val="1F3864"/>
    </w:rPr>
  </w:style>
  <w:style w:type="paragraph" w:styleId="Caption">
    <w:name w:val="caption"/>
    <w:basedOn w:val="Normal"/>
    <w:qFormat/>
    <w:pPr>
      <w:keepNext/>
      <w:spacing w:before="60" w:after="100" w:line="240" w:lineRule="auto"/>
    </w:pPr>
    <w:rPr>
      <w:i/>
      <w:color w:val="7F7F7F"/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2F313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313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F313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1354</Words>
  <Characters>7293</Characters>
  <Application>Microsoft Office Word</Application>
  <DocSecurity>0</DocSecurity>
  <Lines>132</Lines>
  <Paragraphs>88</Paragraphs>
  <ScaleCrop>false</ScaleCrop>
  <Company/>
  <LinksUpToDate>false</LinksUpToDate>
  <CharactersWithSpaces>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WAS-Poly-Repo Coordination Tool — Problem Definition</dc:title>
  <dc:subject>Cross-repository change-set coordination: invariants, failure taxonomy, and scope</dc:subject>
  <dc:creator>Sithara Wanigasooriya</dc:creator>
  <cp:lastModifiedBy>Sithara Wanigasooriya</cp:lastModifiedBy>
  <cp:revision>5</cp:revision>
  <dcterms:created xsi:type="dcterms:W3CDTF">2026-08-29T13:14:00Z</dcterms:created>
  <dcterms:modified xsi:type="dcterms:W3CDTF">2026-08-29T13:34:00Z</dcterms:modified>
</cp:coreProperties>
</file>