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6"/>
        </w:rPr>
        <w:t>CrisisMap</w:t>
      </w:r>
    </w:p>
    <w:p>
      <w:pPr>
        <w:jc w:val="center"/>
      </w:pPr>
      <w:r>
        <w:rPr>
          <w:color w:val="4A5568"/>
          <w:sz w:val="28"/>
        </w:rPr>
        <w:t>Georeferenced Damage Assessment for Humanitarian Response</w:t>
      </w:r>
    </w:p>
    <w:p/>
    <w:p>
      <w:pPr>
        <w:jc w:val="center"/>
      </w:pPr>
      <w:r>
        <w:rPr>
          <w:b w:val="0"/>
          <w:sz w:val="22"/>
        </w:rPr>
        <w:t>Project Proposal</w:t>
      </w:r>
    </w:p>
    <w:p>
      <w:pPr>
        <w:jc w:val="center"/>
      </w:pPr>
      <w:r>
        <w:rPr>
          <w:b w:val="0"/>
          <w:sz w:val="22"/>
        </w:rPr>
        <w:t>Submitted to: UNDP Humanitarian Innovation &amp; Evaluators</w:t>
      </w:r>
    </w:p>
    <w:p>
      <w:pPr>
        <w:jc w:val="center"/>
      </w:pPr>
      <w:r>
        <w:rPr>
          <w:b/>
          <w:sz w:val="22"/>
        </w:rPr>
        <w:t>Author: Sitharthan “Sid” Ramalingam</w:t>
      </w:r>
    </w:p>
    <w:p>
      <w:pPr>
        <w:jc w:val="center"/>
      </w:pPr>
      <w:r>
        <w:rPr>
          <w:b w:val="0"/>
          <w:sz w:val="22"/>
        </w:rPr>
        <w:t>University of North Carolina at Pembroke (UNCP)</w:t>
      </w:r>
    </w:p>
    <w:p>
      <w:pPr>
        <w:jc w:val="center"/>
      </w:pPr>
      <w:r>
        <w:rPr>
          <w:b w:val="0"/>
          <w:sz w:val="22"/>
        </w:rPr>
        <w:t>June 2026</w:t>
      </w:r>
    </w:p>
    <w:p/>
    <w:tbl>
      <w:tblPr>
        <w:tblW w:type="auto" w:w="0"/>
        <w:tblLook w:firstColumn="1" w:firstRow="1" w:lastColumn="0" w:lastRow="0" w:noHBand="0" w:noVBand="1" w:val="04A0"/>
      </w:tblPr>
      <w:tblGrid>
        <w:gridCol w:w="9072"/>
      </w:tblGrid>
      <w:tr>
        <w:tc>
          <w:tcPr>
            <w:tcW w:type="dxa" w:w="9072"/>
            <w:shd w:fill="EEF4FF"/>
          </w:tcPr>
          <w:p>
            <w:r>
              <w:rPr>
                <w:b/>
                <w:color w:val="1A365D"/>
                <w:sz w:val="22"/>
              </w:rPr>
              <w:t>Live prototype</w:t>
              <w:br/>
            </w:r>
            <w:r>
              <w:rPr>
                <w:sz w:val="21"/>
              </w:rPr>
              <w:t>Dashboard: https://crisis-map-phi.vercel.app/</w:t>
              <w:br/>
              <w:t>Report damage: https://crisis-map-phi.vercel.app/report</w:t>
              <w:br/>
              <w:t>Admin panel: https://crisis-map-phi.vercel.app/admin</w:t>
              <w:br/>
              <w:t>Narrated demo video and full design document included in the project repository.</w:t>
            </w:r>
          </w:p>
        </w:tc>
      </w:tr>
    </w:tbl>
    <w:p/>
    <w:p>
      <w:r>
        <w:br w:type="page"/>
      </w:r>
    </w:p>
    <w:p>
      <w:pPr>
        <w:pStyle w:val="Heading1"/>
      </w:pPr>
      <w:r>
        <w:rPr>
          <w:color w:val="1A365D"/>
        </w:rPr>
        <w:t>1. Executive Summary</w:t>
      </w:r>
    </w:p>
    <w:p>
      <w:pPr>
        <w:spacing w:after="160" w:line="276" w:lineRule="auto"/>
      </w:pPr>
      <w:r>
        <w:rPr>
          <w:b w:val="0"/>
          <w:i w:val="0"/>
          <w:sz w:val="22"/>
        </w:rPr>
        <w:t>When a crisis hits, the first hours are lost to fragmented reporting—WhatsApp threads, paper forms, and spreadsheets that never align on location, severity, or structure type. By the time coordinators build a shared picture, decisions are already behind the event.</w:t>
      </w:r>
    </w:p>
    <w:p>
      <w:pPr>
        <w:spacing w:after="160" w:line="276" w:lineRule="auto"/>
      </w:pPr>
      <w:r>
        <w:rPr>
          <w:b w:val="0"/>
          <w:i w:val="0"/>
          <w:sz w:val="22"/>
        </w:rPr>
        <w:t>CrisisMap is a web-based damage assessment platform built for that reality. Field teams submit structured, georeferenced reports from any phone—no account required. Coordinators open crises, triage unlisted submissions, customize forms, and export validated data as CSV, GeoJSON, or Shapefile for UNDP, OCHA, national agencies, and NGO partners.</w:t>
      </w:r>
    </w:p>
    <w:p>
      <w:pPr>
        <w:spacing w:after="160" w:line="276" w:lineRule="auto"/>
      </w:pPr>
      <w:r>
        <w:rPr>
          <w:b w:val="0"/>
          <w:i w:val="0"/>
          <w:sz w:val="22"/>
        </w:rPr>
        <w:t>The MVP is deployed and ready for evaluation: a live prototype on Vercel, a FastAPI backend on Render, and PostGIS storage via Supabase. It supports offline reporting, six languages, version history at the same building, and load testing with hundreds of concurrent reports. This proposal summarizes the problem, approach, and evidence that CrisisMap is ready for operational pilot use—not a slide-deck concept.</w:t>
      </w:r>
    </w:p>
    <w:p>
      <w:pPr>
        <w:pStyle w:val="Heading1"/>
      </w:pPr>
      <w:r>
        <w:rPr>
          <w:color w:val="1A365D"/>
        </w:rPr>
        <w:t>2. The Problem</w:t>
      </w:r>
    </w:p>
    <w:p>
      <w:pPr>
        <w:spacing w:after="160" w:line="276" w:lineRule="auto"/>
      </w:pPr>
      <w:r>
        <w:rPr>
          <w:b w:val="0"/>
          <w:i w:val="0"/>
          <w:sz w:val="22"/>
        </w:rPr>
        <w:t>Humanitarian damage assessment fails less from lack of will than from lack of structure. Field data arrives through incompatible channels, without reliable coordinates, without a common severity scale, and without a way to track how damage at one building changes across days or aftershocks.</w:t>
      </w:r>
    </w:p>
    <w:p>
      <w:pPr>
        <w:pStyle w:val="ListBullet"/>
        <w:spacing w:after="80" w:line="276" w:lineRule="auto"/>
      </w:pPr>
      <w:r>
        <w:rPr>
          <w:sz w:val="22"/>
        </w:rPr>
        <w:t>Reporters drop off when tools require accounts, training, or stable connectivity.</w:t>
      </w:r>
    </w:p>
    <w:p>
      <w:pPr>
        <w:pStyle w:val="ListBullet"/>
        <w:spacing w:after="80" w:line="276" w:lineRule="auto"/>
      </w:pPr>
      <w:r>
        <w:rPr>
          <w:sz w:val="22"/>
        </w:rPr>
        <w:t>Coordinators spend hours reconciling formats before GIS teams can act.</w:t>
      </w:r>
    </w:p>
    <w:p>
      <w:pPr>
        <w:pStyle w:val="ListBullet"/>
        <w:spacing w:after="80" w:line="276" w:lineRule="auto"/>
      </w:pPr>
      <w:r>
        <w:rPr>
          <w:sz w:val="22"/>
        </w:rPr>
        <w:t>New events appear before admins can formally open a crisis—valid reports get lost.</w:t>
      </w:r>
    </w:p>
    <w:p>
      <w:pPr>
        <w:pStyle w:val="ListBullet"/>
        <w:spacing w:after="80" w:line="276" w:lineRule="auto"/>
      </w:pPr>
      <w:r>
        <w:rPr>
          <w:sz w:val="22"/>
        </w:rPr>
        <w:t>Partners need export-ready geodata, not screenshots or ad-hoc spreadsheets.</w:t>
      </w:r>
    </w:p>
    <w:p>
      <w:pPr>
        <w:pStyle w:val="Heading1"/>
      </w:pPr>
      <w:r>
        <w:rPr>
          <w:color w:val="1A365D"/>
        </w:rPr>
        <w:t>3. What CrisisMap Delivers</w:t>
      </w:r>
    </w:p>
    <w:p>
      <w:pPr>
        <w:pStyle w:val="Heading2"/>
      </w:pPr>
      <w:r>
        <w:rPr>
          <w:color w:val="1A365D"/>
        </w:rPr>
        <w:t>3.1 Field reporting that matches crisis conditions</w:t>
      </w:r>
    </w:p>
    <w:p>
      <w:pPr>
        <w:spacing w:after="160" w:line="276" w:lineRule="auto"/>
      </w:pPr>
      <w:r>
        <w:rPr>
          <w:b w:val="0"/>
          <w:i w:val="0"/>
          <w:sz w:val="22"/>
        </w:rPr>
        <w:t>A guided wizard captures severity (minimal / partial / complete), infrastructure type, hazard category, debris, location, and up to five photos—in under three minutes. Reporters can use GPS, map tap, or place search. The nearest active crisis is pre-selected; if none fits, they choose Other and the report routes to an admin triage queue instead of blocking submission.</w:t>
      </w:r>
    </w:p>
    <w:p>
      <w:pPr>
        <w:pStyle w:val="Heading2"/>
      </w:pPr>
      <w:r>
        <w:rPr>
          <w:color w:val="1A365D"/>
        </w:rPr>
        <w:t>3.2 Coordinator control without developer bottlenecks</w:t>
      </w:r>
    </w:p>
    <w:p>
      <w:pPr>
        <w:spacing w:after="160" w:line="276" w:lineRule="auto"/>
      </w:pPr>
      <w:r>
        <w:rPr>
          <w:b w:val="0"/>
          <w:i w:val="0"/>
          <w:sz w:val="22"/>
        </w:rPr>
        <w:t>Administrators sign in to a password-protected panel to create and close crises, review KPIs, assign unlisted reports, and export filtered datasets. A drag-and-drop form builder lets coordinators add event-specific questions—flood depth, evacuation status, access road condition—without waiting on engineering.</w:t>
      </w:r>
    </w:p>
    <w:p>
      <w:pPr>
        <w:pStyle w:val="Heading2"/>
      </w:pPr>
      <w:r>
        <w:rPr>
          <w:color w:val="1A365D"/>
        </w:rPr>
        <w:t>3.3 A map that stays readable as volume grows</w:t>
      </w:r>
    </w:p>
    <w:p>
      <w:pPr>
        <w:spacing w:after="160" w:line="276" w:lineRule="auto"/>
      </w:pPr>
      <w:r>
        <w:rPr>
          <w:b w:val="0"/>
          <w:i w:val="0"/>
          <w:sz w:val="22"/>
        </w:rPr>
        <w:t>Repeat assessments at the same building (within a 5-metre tolerance) stack as version history rather than duplicate pins. The map shows the latest validated assessment; coordinators and analysts can open the full timeline. This is essential when damage evolves—floods recede, aftershocks worsen structural risk, or access improves over days.</w:t>
      </w:r>
    </w:p>
    <w:p>
      <w:pPr>
        <w:pStyle w:val="Heading2"/>
      </w:pPr>
      <w:r>
        <w:rPr>
          <w:color w:val="1A365D"/>
        </w:rPr>
        <w:t>3.4 Offline-first by design</w:t>
      </w:r>
    </w:p>
    <w:p>
      <w:pPr>
        <w:spacing w:after="160" w:line="276" w:lineRule="auto"/>
      </w:pPr>
      <w:r>
        <w:rPr>
          <w:b w:val="0"/>
          <w:i w:val="0"/>
          <w:sz w:val="22"/>
        </w:rPr>
        <w:t>Reports and photos queue on the device when connectivity fails. When the network returns, submissions sync automatically—no action required from the reporter. This targets post-disaster reality: congested cellular networks, rural dead zones, and teams working from personal phones rather than issued hardware.</w:t>
      </w:r>
    </w:p>
    <w:p>
      <w:pPr>
        <w:pStyle w:val="Heading1"/>
      </w:pPr>
      <w:r>
        <w:rPr>
          <w:color w:val="1A365D"/>
        </w:rPr>
        <w:t>4. Why This Approach Works</w:t>
      </w:r>
    </w:p>
    <w:tbl>
      <w:tblPr>
        <w:tblStyle w:val="TableGrid"/>
        <w:tblW w:type="auto" w:w="0"/>
        <w:tblLook w:firstColumn="1" w:firstRow="1" w:lastColumn="0" w:lastRow="0" w:noHBand="0" w:noVBand="1" w:val="04A0"/>
      </w:tblPr>
      <w:tblGrid>
        <w:gridCol w:w="4536"/>
        <w:gridCol w:w="4536"/>
      </w:tblGrid>
      <w:tr>
        <w:tc>
          <w:tcPr>
            <w:tcW w:type="dxa" w:w="4536"/>
            <w:shd w:fill="D6E4FF"/>
          </w:tcPr>
          <w:p>
            <w:r>
              <w:rPr>
                <w:b/>
              </w:rPr>
              <w:t>Design choice</w:t>
            </w:r>
          </w:p>
        </w:tc>
        <w:tc>
          <w:tcPr>
            <w:tcW w:type="dxa" w:w="4536"/>
            <w:shd w:fill="D6E4FF"/>
          </w:tcPr>
          <w:p>
            <w:r>
              <w:rPr>
                <w:b/>
              </w:rPr>
              <w:t>Field impact</w:t>
            </w:r>
          </w:p>
        </w:tc>
      </w:tr>
      <w:tr>
        <w:tc>
          <w:tcPr>
            <w:tcW w:type="dxa" w:w="4536"/>
          </w:tcPr>
          <w:p>
            <w:r>
              <w:t>No account required</w:t>
            </w:r>
          </w:p>
        </w:tc>
        <w:tc>
          <w:tcPr>
            <w:tcW w:type="dxa" w:w="4536"/>
          </w:tcPr>
          <w:p>
            <w:r>
              <w:t>Removes the largest drop-off point during emergencies</w:t>
            </w:r>
          </w:p>
        </w:tc>
      </w:tr>
      <w:tr>
        <w:tc>
          <w:tcPr>
            <w:tcW w:type="dxa" w:w="4536"/>
          </w:tcPr>
          <w:p>
            <w:r>
              <w:t>Structured wizard + UNDRR-aligned taxonomy</w:t>
            </w:r>
          </w:p>
        </w:tc>
        <w:tc>
          <w:tcPr>
            <w:tcW w:type="dxa" w:w="4536"/>
          </w:tcPr>
          <w:p>
            <w:r>
              <w:t>Comparable statistics across regions and agencies</w:t>
            </w:r>
          </w:p>
        </w:tc>
      </w:tr>
      <w:tr>
        <w:tc>
          <w:tcPr>
            <w:tcW w:type="dxa" w:w="4536"/>
          </w:tcPr>
          <w:p>
            <w:r>
              <w:t>Unlisted report queue</w:t>
            </w:r>
          </w:p>
        </w:tc>
        <w:tc>
          <w:tcPr>
            <w:tcW w:type="dxa" w:w="4536"/>
          </w:tcPr>
          <w:p>
            <w:r>
              <w:t>Nothing is lost when a new event precedes formal crisis setup</w:t>
            </w:r>
          </w:p>
        </w:tc>
      </w:tr>
      <w:tr>
        <w:tc>
          <w:tcPr>
            <w:tcW w:type="dxa" w:w="4536"/>
          </w:tcPr>
          <w:p>
            <w:r>
              <w:t>CSV / GeoJSON / Shapefile export</w:t>
            </w:r>
          </w:p>
        </w:tc>
        <w:tc>
          <w:tcPr>
            <w:tcW w:type="dxa" w:w="4536"/>
          </w:tcPr>
          <w:p>
            <w:r>
              <w:t>Feeds Excel, QGIS, ArcGIS, and coordination dashboards directly</w:t>
            </w:r>
          </w:p>
        </w:tc>
      </w:tr>
      <w:tr>
        <w:tc>
          <w:tcPr>
            <w:tcW w:type="dxa" w:w="4536"/>
          </w:tcPr>
          <w:p>
            <w:r>
              <w:t>Six languages (EN full; AR, FR, ES, ZH, RU partial)</w:t>
            </w:r>
          </w:p>
        </w:tc>
        <w:tc>
          <w:tcPr>
            <w:tcW w:type="dxa" w:w="4536"/>
          </w:tcPr>
          <w:p>
            <w:r>
              <w:t>Serves multinational teams without manual setup</w:t>
            </w:r>
          </w:p>
        </w:tc>
      </w:tr>
      <w:tr>
        <w:tc>
          <w:tcPr>
            <w:tcW w:type="dxa" w:w="4536"/>
          </w:tcPr>
          <w:p>
            <w:r>
              <w:t>PWA + IndexedDB offline sync</w:t>
            </w:r>
          </w:p>
        </w:tc>
        <w:tc>
          <w:tcPr>
            <w:tcW w:type="dxa" w:w="4536"/>
          </w:tcPr>
          <w:p>
            <w:r>
              <w:t>Works on any modern browser—no app store dependency</w:t>
            </w:r>
          </w:p>
        </w:tc>
      </w:tr>
    </w:tbl>
    <w:p/>
    <w:p>
      <w:pPr>
        <w:pStyle w:val="Heading1"/>
      </w:pPr>
      <w:r>
        <w:rPr>
          <w:color w:val="1A365D"/>
        </w:rPr>
        <w:t>5. Technical Foundation</w:t>
      </w:r>
    </w:p>
    <w:p>
      <w:pPr>
        <w:spacing w:after="160" w:line="276" w:lineRule="auto"/>
      </w:pPr>
      <w:r>
        <w:rPr>
          <w:b w:val="0"/>
          <w:i w:val="0"/>
          <w:sz w:val="22"/>
        </w:rPr>
        <w:t>CrisisMap uses open standards and managed services chosen for reliability, cost predictability, and alignment with humanitarian IT practice:</w:t>
      </w:r>
    </w:p>
    <w:tbl>
      <w:tblPr>
        <w:tblStyle w:val="TableGrid"/>
        <w:tblW w:type="auto" w:w="0"/>
        <w:tblLook w:firstColumn="1" w:firstRow="1" w:lastColumn="0" w:lastRow="0" w:noHBand="0" w:noVBand="1" w:val="04A0"/>
      </w:tblPr>
      <w:tblGrid>
        <w:gridCol w:w="3024"/>
        <w:gridCol w:w="3024"/>
        <w:gridCol w:w="3024"/>
      </w:tblGrid>
      <w:tr>
        <w:tc>
          <w:tcPr>
            <w:tcW w:type="dxa" w:w="3024"/>
            <w:shd w:fill="D6E4FF"/>
          </w:tcPr>
          <w:p>
            <w:r>
              <w:rPr>
                <w:b/>
              </w:rPr>
              <w:t>Layer</w:t>
            </w:r>
          </w:p>
        </w:tc>
        <w:tc>
          <w:tcPr>
            <w:tcW w:type="dxa" w:w="3024"/>
            <w:shd w:fill="D6E4FF"/>
          </w:tcPr>
          <w:p>
            <w:r>
              <w:rPr>
                <w:b/>
              </w:rPr>
              <w:t>Technology</w:t>
            </w:r>
          </w:p>
        </w:tc>
        <w:tc>
          <w:tcPr>
            <w:tcW w:type="dxa" w:w="3024"/>
            <w:shd w:fill="D6E4FF"/>
          </w:tcPr>
          <w:p>
            <w:r>
              <w:rPr>
                <w:b/>
              </w:rPr>
              <w:t>Role</w:t>
            </w:r>
          </w:p>
        </w:tc>
      </w:tr>
      <w:tr>
        <w:tc>
          <w:tcPr>
            <w:tcW w:type="dxa" w:w="3024"/>
          </w:tcPr>
          <w:p>
            <w:r>
              <w:t>Frontend</w:t>
            </w:r>
          </w:p>
        </w:tc>
        <w:tc>
          <w:tcPr>
            <w:tcW w:type="dxa" w:w="3024"/>
          </w:tcPr>
          <w:p>
            <w:r>
              <w:t>React + Vite (PWA)</w:t>
            </w:r>
          </w:p>
        </w:tc>
        <w:tc>
          <w:tcPr>
            <w:tcW w:type="dxa" w:w="3024"/>
          </w:tcPr>
          <w:p>
            <w:r>
              <w:t>Mobile-first UI; installable; offline-capable</w:t>
            </w:r>
          </w:p>
        </w:tc>
      </w:tr>
      <w:tr>
        <w:tc>
          <w:tcPr>
            <w:tcW w:type="dxa" w:w="3024"/>
          </w:tcPr>
          <w:p>
            <w:r>
              <w:t>Backend</w:t>
            </w:r>
          </w:p>
        </w:tc>
        <w:tc>
          <w:tcPr>
            <w:tcW w:type="dxa" w:w="3024"/>
          </w:tcPr>
          <w:p>
            <w:r>
              <w:t>FastAPI on Render.com</w:t>
            </w:r>
          </w:p>
        </w:tc>
        <w:tc>
          <w:tcPr>
            <w:tcW w:type="dxa" w:w="3024"/>
          </w:tcPr>
          <w:p>
            <w:r>
              <w:t>Versioned REST API; managed TLS and deployment</w:t>
            </w:r>
          </w:p>
        </w:tc>
      </w:tr>
      <w:tr>
        <w:tc>
          <w:tcPr>
            <w:tcW w:type="dxa" w:w="3024"/>
          </w:tcPr>
          <w:p>
            <w:r>
              <w:t>Database</w:t>
            </w:r>
          </w:p>
        </w:tc>
        <w:tc>
          <w:tcPr>
            <w:tcW w:type="dxa" w:w="3024"/>
          </w:tcPr>
          <w:p>
            <w:r>
              <w:t>PostgreSQL + PostGIS (Supabase)</w:t>
            </w:r>
          </w:p>
        </w:tc>
        <w:tc>
          <w:tcPr>
            <w:tcW w:type="dxa" w:w="3024"/>
          </w:tcPr>
          <w:p>
            <w:r>
              <w:t>Geospatial queries; location deduplication</w:t>
            </w:r>
          </w:p>
        </w:tc>
      </w:tr>
      <w:tr>
        <w:tc>
          <w:tcPr>
            <w:tcW w:type="dxa" w:w="3024"/>
          </w:tcPr>
          <w:p>
            <w:r>
              <w:t>Storage</w:t>
            </w:r>
          </w:p>
        </w:tc>
        <w:tc>
          <w:tcPr>
            <w:tcW w:type="dxa" w:w="3024"/>
          </w:tcPr>
          <w:p>
            <w:r>
              <w:t>Supabase Storage</w:t>
            </w:r>
          </w:p>
        </w:tc>
        <w:tc>
          <w:tcPr>
            <w:tcW w:type="dxa" w:w="3024"/>
          </w:tcPr>
          <w:p>
            <w:r>
              <w:t>Private photos via time-limited signed URLs</w:t>
            </w:r>
          </w:p>
        </w:tc>
      </w:tr>
      <w:tr>
        <w:tc>
          <w:tcPr>
            <w:tcW w:type="dxa" w:w="3024"/>
          </w:tcPr>
          <w:p>
            <w:r>
              <w:t>Hosting</w:t>
            </w:r>
          </w:p>
        </w:tc>
        <w:tc>
          <w:tcPr>
            <w:tcW w:type="dxa" w:w="3024"/>
          </w:tcPr>
          <w:p>
            <w:r>
              <w:t>Vercel CDN</w:t>
            </w:r>
          </w:p>
        </w:tc>
        <w:tc>
          <w:tcPr>
            <w:tcW w:type="dxa" w:w="3024"/>
          </w:tcPr>
          <w:p>
            <w:r>
              <w:t>Global HTTPS delivery for the dashboard</w:t>
            </w:r>
          </w:p>
        </w:tc>
      </w:tr>
      <w:tr>
        <w:tc>
          <w:tcPr>
            <w:tcW w:type="dxa" w:w="3024"/>
          </w:tcPr>
          <w:p>
            <w:r>
              <w:t>Mapping</w:t>
            </w:r>
          </w:p>
        </w:tc>
        <w:tc>
          <w:tcPr>
            <w:tcW w:type="dxa" w:w="3024"/>
          </w:tcPr>
          <w:p>
            <w:r>
              <w:t>OpenStreetMap + building footprints</w:t>
            </w:r>
          </w:p>
        </w:tc>
        <w:tc>
          <w:tcPr>
            <w:tcW w:type="dxa" w:w="3024"/>
          </w:tcPr>
          <w:p>
            <w:r>
              <w:t>Open data; no licensing fees</w:t>
            </w:r>
          </w:p>
        </w:tc>
      </w:tr>
    </w:tbl>
    <w:p/>
    <w:p>
      <w:pPr>
        <w:pStyle w:val="Heading2"/>
      </w:pPr>
      <w:r>
        <w:rPr>
          <w:color w:val="1A365D"/>
        </w:rPr>
        <w:t>5.1 Performance and scale</w:t>
      </w:r>
    </w:p>
    <w:p>
      <w:pPr>
        <w:spacing w:after="160" w:line="276" w:lineRule="auto"/>
      </w:pPr>
      <w:r>
        <w:rPr>
          <w:b w:val="0"/>
          <w:i w:val="0"/>
          <w:sz w:val="22"/>
        </w:rPr>
        <w:t>The platform has been benchmarked with the included load-testing scripts (seed_test_reports.py, benchmark_api.py). Map rendering uses optimized stored procedures and PostGIS indexing so dashboard load remains a single database call regardless of pin count. Volume tests with 500+ seeded reports confirm map readability, export integrity, and offline sync behavior. Detailed methodology and screenshots are documented in docs/UNDP-DESIGN-DOCUMENT.md.</w:t>
      </w:r>
    </w:p>
    <w:p>
      <w:pPr>
        <w:pStyle w:val="Heading2"/>
      </w:pPr>
      <w:r>
        <w:rPr>
          <w:color w:val="1A365D"/>
        </w:rPr>
        <w:t>5.2 Security</w:t>
      </w:r>
    </w:p>
    <w:p>
      <w:pPr>
        <w:pStyle w:val="ListBullet"/>
        <w:spacing w:after="80" w:line="276" w:lineRule="auto"/>
      </w:pPr>
      <w:r>
        <w:rPr>
          <w:sz w:val="22"/>
        </w:rPr>
        <w:t>Public reporting: anonymous by default; optional reporter name only.</w:t>
      </w:r>
    </w:p>
    <w:p>
      <w:pPr>
        <w:pStyle w:val="ListBullet"/>
        <w:spacing w:after="80" w:line="276" w:lineRule="auto"/>
      </w:pPr>
      <w:r>
        <w:rPr>
          <w:sz w:val="22"/>
        </w:rPr>
        <w:t>Admin access: HMAC-signed session token (24 h); sessionStorage only.</w:t>
      </w:r>
    </w:p>
    <w:p>
      <w:pPr>
        <w:pStyle w:val="ListBullet"/>
        <w:spacing w:after="80" w:line="276" w:lineRule="auto"/>
      </w:pPr>
      <w:r>
        <w:rPr>
          <w:sz w:val="22"/>
        </w:rPr>
        <w:t>Database: service role key server-side; frontend never queries directly.</w:t>
      </w:r>
    </w:p>
    <w:p>
      <w:pPr>
        <w:pStyle w:val="ListBullet"/>
        <w:spacing w:after="80" w:line="276" w:lineRule="auto"/>
      </w:pPr>
      <w:r>
        <w:rPr>
          <w:sz w:val="22"/>
        </w:rPr>
        <w:t>Photos: signed URLs with short expiry; not publicly listable.</w:t>
      </w:r>
    </w:p>
    <w:p>
      <w:pPr>
        <w:pStyle w:val="ListBullet"/>
        <w:spacing w:after="80" w:line="276" w:lineRule="auto"/>
      </w:pPr>
      <w:r>
        <w:rPr>
          <w:sz w:val="22"/>
        </w:rPr>
        <w:t>Transport: TLS on Render, Vercel, and Supabase.</w:t>
      </w:r>
    </w:p>
    <w:p>
      <w:pPr>
        <w:pStyle w:val="Heading1"/>
      </w:pPr>
      <w:r>
        <w:rPr>
          <w:color w:val="1A365D"/>
        </w:rPr>
        <w:t>6. Evaluation &amp; Next Steps</w:t>
      </w:r>
    </w:p>
    <w:p>
      <w:pPr>
        <w:spacing w:after="160" w:line="276" w:lineRule="auto"/>
      </w:pPr>
      <w:r>
        <w:rPr>
          <w:b w:val="0"/>
          <w:i w:val="0"/>
          <w:sz w:val="22"/>
        </w:rPr>
        <w:t>UNDP evaluators can review CrisisMap immediately through the live deployment. The repository includes a narrated two-minute demo video, UI screenshots, seed data for six crisis scenarios (earthquake, flood, wildfire, explosion, conflict, and closed-crisis export), and a step-by-step evaluator guide. Admin credentials are available upon request.</w:t>
      </w:r>
    </w:p>
    <w:p>
      <w:pPr>
        <w:pStyle w:val="ListBullet"/>
        <w:spacing w:after="80" w:line="276" w:lineRule="auto"/>
      </w:pPr>
      <w:r>
        <w:rPr>
          <w:sz w:val="22"/>
        </w:rPr>
        <w:t>Live dashboard: https://crisis-map-phi.vercel.app/</w:t>
      </w:r>
    </w:p>
    <w:p>
      <w:pPr>
        <w:pStyle w:val="ListBullet"/>
        <w:spacing w:after="80" w:line="276" w:lineRule="auto"/>
      </w:pPr>
      <w:r>
        <w:rPr>
          <w:sz w:val="22"/>
        </w:rPr>
        <w:t>Submit a report: https://crisis-map-phi.vercel.app/report</w:t>
      </w:r>
    </w:p>
    <w:p>
      <w:pPr>
        <w:pStyle w:val="ListBullet"/>
        <w:spacing w:after="80" w:line="276" w:lineRule="auto"/>
      </w:pPr>
      <w:r>
        <w:rPr>
          <w:sz w:val="22"/>
        </w:rPr>
        <w:t>Design document: docs/UNDP-DESIGN-DOCUMENT.md (in repository)</w:t>
      </w:r>
    </w:p>
    <w:p>
      <w:pPr>
        <w:pStyle w:val="ListBullet"/>
        <w:spacing w:after="80" w:line="276" w:lineRule="auto"/>
      </w:pPr>
      <w:r>
        <w:rPr>
          <w:sz w:val="22"/>
        </w:rPr>
        <w:t>Demo video: demo/output/CrisisMap_demo_2min_updated_history_createform_with_voiceover.mp4</w:t>
      </w:r>
    </w:p>
    <w:p>
      <w:pPr>
        <w:pStyle w:val="Heading2"/>
      </w:pPr>
      <w:r>
        <w:rPr>
          <w:color w:val="1A365D"/>
        </w:rPr>
        <w:t>6.1 Roadmap (summary)</w:t>
      </w:r>
    </w:p>
    <w:tbl>
      <w:tblPr>
        <w:tblStyle w:val="TableGrid"/>
        <w:tblW w:type="auto" w:w="0"/>
        <w:tblLook w:firstColumn="1" w:firstRow="1" w:lastColumn="0" w:lastRow="0" w:noHBand="0" w:noVBand="1" w:val="04A0"/>
      </w:tblPr>
      <w:tblGrid>
        <w:gridCol w:w="3024"/>
        <w:gridCol w:w="3024"/>
        <w:gridCol w:w="3024"/>
      </w:tblGrid>
      <w:tr>
        <w:tc>
          <w:tcPr>
            <w:tcW w:type="dxa" w:w="3024"/>
            <w:shd w:fill="D6E4FF"/>
          </w:tcPr>
          <w:p>
            <w:r>
              <w:rPr>
                <w:b/>
              </w:rPr>
              <w:t>Phase</w:t>
            </w:r>
          </w:p>
        </w:tc>
        <w:tc>
          <w:tcPr>
            <w:tcW w:type="dxa" w:w="3024"/>
            <w:shd w:fill="D6E4FF"/>
          </w:tcPr>
          <w:p>
            <w:r>
              <w:rPr>
                <w:b/>
              </w:rPr>
              <w:t>Focus</w:t>
            </w:r>
          </w:p>
        </w:tc>
        <w:tc>
          <w:tcPr>
            <w:tcW w:type="dxa" w:w="3024"/>
            <w:shd w:fill="D6E4FF"/>
          </w:tcPr>
          <w:p>
            <w:r>
              <w:rPr>
                <w:b/>
              </w:rPr>
              <w:t>Target</w:t>
            </w:r>
          </w:p>
        </w:tc>
      </w:tr>
      <w:tr>
        <w:tc>
          <w:tcPr>
            <w:tcW w:type="dxa" w:w="3024"/>
          </w:tcPr>
          <w:p>
            <w:r>
              <w:t>Production (current)</w:t>
            </w:r>
          </w:p>
        </w:tc>
        <w:tc>
          <w:tcPr>
            <w:tcW w:type="dxa" w:w="3024"/>
          </w:tcPr>
          <w:p>
            <w:r>
              <w:t>Reporting, admin, offline sync, exports, version history, form builder</w:t>
            </w:r>
          </w:p>
        </w:tc>
        <w:tc>
          <w:tcPr>
            <w:tcW w:type="dxa" w:w="3024"/>
          </w:tcPr>
          <w:p>
            <w:r>
              <w:t>June 2026</w:t>
            </w:r>
          </w:p>
        </w:tc>
      </w:tr>
      <w:tr>
        <w:tc>
          <w:tcPr>
            <w:tcW w:type="dxa" w:w="3024"/>
          </w:tcPr>
          <w:p>
            <w:r>
              <w:t>Phase 2</w:t>
            </w:r>
          </w:p>
        </w:tc>
        <w:tc>
          <w:tcPr>
            <w:tcW w:type="dxa" w:w="3024"/>
          </w:tcPr>
          <w:p>
            <w:r>
              <w:t>Per-user admin accounts, MFA, Row-Level Security, full admin i18n</w:t>
            </w:r>
          </w:p>
        </w:tc>
        <w:tc>
          <w:tcPr>
            <w:tcW w:type="dxa" w:w="3024"/>
          </w:tcPr>
          <w:p>
            <w:r>
              <w:t>Q3 2026</w:t>
            </w:r>
          </w:p>
        </w:tc>
      </w:tr>
      <w:tr>
        <w:tc>
          <w:tcPr>
            <w:tcW w:type="dxa" w:w="3024"/>
          </w:tcPr>
          <w:p>
            <w:r>
              <w:t>Phase 3</w:t>
            </w:r>
          </w:p>
        </w:tc>
        <w:tc>
          <w:tcPr>
            <w:tcW w:type="dxa" w:w="3024"/>
          </w:tcPr>
          <w:p>
            <w:r>
              <w:t>OCHA HDX publishing, SMS submission for feature phones</w:t>
            </w:r>
          </w:p>
        </w:tc>
        <w:tc>
          <w:tcPr>
            <w:tcW w:type="dxa" w:w="3024"/>
          </w:tcPr>
          <w:p>
            <w:r>
              <w:t>Q4 2026</w:t>
            </w:r>
          </w:p>
        </w:tc>
      </w:tr>
      <w:tr>
        <w:tc>
          <w:tcPr>
            <w:tcW w:type="dxa" w:w="3024"/>
          </w:tcPr>
          <w:p>
            <w:r>
              <w:t>Phase 4</w:t>
            </w:r>
          </w:p>
        </w:tc>
        <w:tc>
          <w:tcPr>
            <w:tcW w:type="dxa" w:w="3024"/>
          </w:tcPr>
          <w:p>
            <w:r>
              <w:t>Multi-agency data isolation, audit logging, retention policies</w:t>
            </w:r>
          </w:p>
        </w:tc>
        <w:tc>
          <w:tcPr>
            <w:tcW w:type="dxa" w:w="3024"/>
          </w:tcPr>
          <w:p>
            <w:r>
              <w:t>Q1 2027</w:t>
            </w:r>
          </w:p>
        </w:tc>
      </w:tr>
    </w:tbl>
    <w:p/>
    <w:p>
      <w:pPr>
        <w:pStyle w:val="Heading1"/>
      </w:pPr>
      <w:r>
        <w:rPr>
          <w:color w:val="1A365D"/>
        </w:rPr>
        <w:t>7. Conclusion</w:t>
      </w:r>
    </w:p>
    <w:p>
      <w:pPr>
        <w:spacing w:after="160" w:line="276" w:lineRule="auto"/>
      </w:pPr>
      <w:r>
        <w:rPr>
          <w:b w:val="0"/>
          <w:i w:val="0"/>
          <w:sz w:val="22"/>
        </w:rPr>
        <w:t>CrisisMap closes a practical gap: fast, structured, georeferenced damage reporting that works on any phone, in multiple languages, with or without connectivity, and without requiring institutional affiliation to participate. It gives coordinators a single validated dataset and gives partners export formats they already use.</w:t>
      </w:r>
    </w:p>
    <w:p>
      <w:pPr>
        <w:spacing w:after="160" w:line="276" w:lineRule="auto"/>
      </w:pPr>
      <w:r>
        <w:rPr>
          <w:b w:val="0"/>
          <w:i w:val="0"/>
          <w:sz w:val="22"/>
        </w:rPr>
        <w:t>I welcome the opportunity to walk UNDP evaluators through the live prototype, discuss deployment scenarios, and incorporate field feedback into the next phase of development.</w:t>
      </w:r>
    </w:p>
    <w:p>
      <w:pPr>
        <w:spacing w:before="360"/>
      </w:pPr>
      <w:r>
        <w:rPr>
          <w:sz w:val="22"/>
        </w:rPr>
        <w:t>Respectfully submitted,</w:t>
        <w:br/>
        <w:br/>
      </w:r>
      <w:r>
        <w:rPr>
          <w:b/>
          <w:sz w:val="24"/>
        </w:rPr>
        <w:t>Sitharthan “Sid” Ramalingam</w:t>
        <w:br/>
      </w:r>
      <w:r>
        <w:rPr>
          <w:sz w:val="22"/>
        </w:rPr>
        <w:t>CrisisMap — University of North Carolina at Pembroke</w:t>
        <w:br/>
      </w:r>
      <w:r>
        <w:rPr>
          <w:color w:val="4A5568"/>
          <w:sz w:val="20"/>
        </w:rPr>
        <w:t>crisis-map-phi.vercel.app  |  June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