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563EB"/>
          <w:sz w:val="20"/>
          <w:szCs w:val="20"/>
        </w:rPr>
        <w:t xml:space="preserve">DATA STORYTELLING SCRIPT</w:t>
      </w:r>
    </w:p>
    <w:p>
      <w:pPr>
        <w:spacing w:after="180"/>
        <w:jc w:val="center"/>
      </w:pPr>
      <w:r>
        <w:rPr>
          <w:b/>
          <w:bCs/>
          <w:color w:val="1F2937"/>
          <w:sz w:val="34"/>
          <w:szCs w:val="34"/>
        </w:rPr>
        <w:t xml:space="preserve">Naskah Cerita untuk Presentasi kepada Management</w:t>
      </w:r>
    </w:p>
    <w:p>
      <w:pPr>
        <w:spacing w:after="60"/>
      </w:pPr>
      <w:r>
        <w:rPr>
          <w:b/>
          <w:bCs/>
          <w:color w:val="1F2937"/>
          <w:sz w:val="20"/>
          <w:szCs w:val="20"/>
        </w:rPr>
        <w:t xml:space="preserve">Studi Kasus: </w:t>
      </w:r>
      <w:r>
        <w:rPr>
          <w:color w:val="374151"/>
          <w:sz w:val="20"/>
          <w:szCs w:val="20"/>
        </w:rPr>
        <w:t xml:space="preserve">Analisis Penurunan Penjualan — Superstore Sales Dataset</w:t>
      </w:r>
    </w:p>
    <w:p>
      <w:pPr>
        <w:spacing w:after="60"/>
      </w:pPr>
      <w:r>
        <w:rPr>
          <w:b/>
          <w:bCs/>
          <w:color w:val="1F2937"/>
          <w:sz w:val="20"/>
          <w:szCs w:val="20"/>
        </w:rPr>
        <w:t xml:space="preserve">Topik: </w:t>
      </w:r>
      <w:r>
        <w:rPr>
          <w:color w:val="374151"/>
          <w:sz w:val="20"/>
          <w:szCs w:val="20"/>
        </w:rPr>
        <w:t xml:space="preserve">Topik 6 — Reporting &amp; Data Storytelling</w:t>
      </w:r>
    </w:p>
    <w:p>
      <w:pPr>
        <w:spacing w:after="60"/>
      </w:pPr>
      <w:r>
        <w:rPr>
          <w:b/>
          <w:bCs/>
          <w:color w:val="1F2937"/>
          <w:sz w:val="20"/>
          <w:szCs w:val="20"/>
        </w:rPr>
        <w:t xml:space="preserve">Framework: </w:t>
      </w:r>
      <w:r>
        <w:rPr>
          <w:color w:val="374151"/>
          <w:sz w:val="20"/>
          <w:szCs w:val="20"/>
        </w:rPr>
        <w:t xml:space="preserve">Situation → Complication → Resolution</w:t>
      </w:r>
    </w:p>
    <w:p>
      <w:pPr>
        <w:spacing w:after="140"/>
      </w:pPr>
      <w:r>
        <w:rPr>
          <w:i/>
          <w:iCs/>
          <w:color w:val="6B7280"/>
          <w:sz w:val="18"/>
          <w:szCs w:val="18"/>
        </w:rPr>
        <w:t xml:space="preserve">Sumber data: Superstore Sales Dataset (data transaksi retail riil, 8.399 baris) — dianalisis periode baseline (Nov 2010–Feb 2011) dibandingkan periode penurunan (Mar–Jun 2011).</w:t>
      </w:r>
    </w:p>
    <w:p>
      <w:pPr>
        <w:pStyle w:val="Heading1"/>
        <w:pBdr>
          <w:bottom w:val="single" w:color="2563EB" w:sz="6" w:space="4"/>
        </w:pBdr>
        <w:spacing w:after="140" w:before="320"/>
      </w:pPr>
      <w:r>
        <w:rPr>
          <w:b/>
          <w:bCs/>
          <w:color w:val="1F2937"/>
          <w:sz w:val="27"/>
          <w:szCs w:val="27"/>
        </w:rPr>
        <w:t xml:space="preserve">Bagian 1: SITUATION (Apa Situasinya?)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563EB" w:sz="4"/>
              <w:left w:val="single" w:color="2563EB" w:sz="4"/>
              <w:bottom w:val="single" w:color="2563EB" w:sz="4"/>
              <w:right w:val="single" w:color="2563EB" w:sz="4"/>
            </w:tcBorders>
            <w:shd w:fill="EFF6FF" w:color="auto" w:val="clear"/>
            <w:tcMar>
              <w:top w:type="dxa" w:w="160"/>
              <w:left w:type="dxa" w:w="220"/>
              <w:bottom w:type="dxa" w:w="160"/>
              <w:right w:type="dxa" w:w="220"/>
            </w:tcMar>
          </w:tcPr>
          <w:p>
            <w:pPr>
              <w:spacing w:after="100"/>
            </w:pPr>
            <w:r>
              <w:rPr>
                <w:b/>
                <w:bCs/>
                <w:color w:val="2563EB"/>
                <w:sz w:val="19"/>
                <w:szCs w:val="19"/>
              </w:rPr>
              <w:t xml:space="preserve">Naskah:</w:t>
            </w:r>
          </w:p>
          <w:p>
            <w:r>
              <w:rPr>
                <w:i/>
                <w:iCs/>
                <w:color w:val="1E3A8A"/>
                <w:sz w:val="22"/>
                <w:szCs w:val="22"/>
              </w:rPr>
              <w:t xml:space="preserve">“Selama periode November 2010 hingga Februari 2011, perusahaan menikmati pertumbuhan penjualan yang stabil, dengan rata-rata penjualan sekitar $302.530 per bulan. Performa ini konsisten dengan proyeksi bisnis yang sudah ditetapkan, dan tidak ada indikasi masalah pada operasional maupun strategi penjualan di kedelapan wilayah operasi kami.”</w:t>
            </w:r>
          </w:p>
        </w:tc>
      </w:tr>
    </w:tbl>
    <w:p>
      <w:pPr>
        <w:pStyle w:val="Heading1"/>
        <w:pBdr>
          <w:bottom w:val="single" w:color="2563EB" w:sz="6" w:space="4"/>
        </w:pBdr>
        <w:spacing w:after="140" w:before="320"/>
      </w:pPr>
      <w:r>
        <w:rPr>
          <w:b/>
          <w:bCs/>
          <w:color w:val="1F2937"/>
          <w:sz w:val="27"/>
          <w:szCs w:val="27"/>
        </w:rPr>
        <w:t xml:space="preserve">Bagian 2: COMPLICATION (Apa Masalahnya?)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563EB" w:sz="4"/>
              <w:left w:val="single" w:color="2563EB" w:sz="4"/>
              <w:bottom w:val="single" w:color="2563EB" w:sz="4"/>
              <w:right w:val="single" w:color="2563EB" w:sz="4"/>
            </w:tcBorders>
            <w:shd w:fill="EFF6FF" w:color="auto" w:val="clear"/>
            <w:tcMar>
              <w:top w:type="dxa" w:w="160"/>
              <w:left w:type="dxa" w:w="220"/>
              <w:bottom w:type="dxa" w:w="160"/>
              <w:right w:type="dxa" w:w="220"/>
            </w:tcMar>
          </w:tcPr>
          <w:p>
            <w:pPr>
              <w:spacing w:after="100"/>
            </w:pPr>
            <w:r>
              <w:rPr>
                <w:b/>
                <w:bCs/>
                <w:color w:val="2563EB"/>
                <w:sz w:val="19"/>
                <w:szCs w:val="19"/>
              </w:rPr>
              <w:t xml:space="preserve">Naskah:</w:t>
            </w:r>
          </w:p>
          <w:p>
            <w:r>
              <w:rPr>
                <w:i/>
                <w:iCs/>
                <w:color w:val="1E3A8A"/>
                <w:sz w:val="22"/>
                <w:szCs w:val="22"/>
              </w:rPr>
              <w:t xml:space="preserve">“Namun, pada periode Maret hingga Juni 2011, kami mengamati penurunan penjualan yang konsisten selama tiga bulan berturut-turut — dengan total penurunan mencapai 33,2%. Yang membuat ini perlu perhatian serius adalah pola penurunannya: bulan Juni saja turun 24,7% dibanding Mei, menunjukkan tren yang justru semakin memburuk, bukan stabil atau membaik.”</w:t>
            </w:r>
          </w:p>
        </w:tc>
      </w:tr>
    </w:tbl>
    <w:p>
      <w:pPr>
        <w:pStyle w:val="Heading1"/>
        <w:pBdr>
          <w:bottom w:val="single" w:color="2563EB" w:sz="6" w:space="4"/>
        </w:pBdr>
        <w:spacing w:after="140" w:before="320"/>
      </w:pPr>
      <w:r>
        <w:rPr>
          <w:b/>
          <w:bCs/>
          <w:color w:val="1F2937"/>
          <w:sz w:val="27"/>
          <w:szCs w:val="27"/>
        </w:rPr>
        <w:t xml:space="preserve">Bagian 3: EVIDENCE (Apa Bukti dari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563EB" w:sz="4"/>
              <w:left w:val="single" w:color="2563EB" w:sz="4"/>
              <w:bottom w:val="single" w:color="2563EB" w:sz="4"/>
              <w:right w:val="single" w:color="2563EB" w:sz="4"/>
            </w:tcBorders>
            <w:shd w:fill="EFF6FF" w:color="auto" w:val="clear"/>
            <w:tcMar>
              <w:top w:type="dxa" w:w="160"/>
              <w:left w:type="dxa" w:w="220"/>
              <w:bottom w:type="dxa" w:w="160"/>
              <w:right w:type="dxa" w:w="220"/>
            </w:tcMar>
          </w:tcPr>
          <w:p>
            <w:pPr>
              <w:spacing w:after="100"/>
            </w:pPr>
            <w:r>
              <w:rPr>
                <w:b/>
                <w:bCs/>
                <w:color w:val="2563EB"/>
                <w:sz w:val="19"/>
                <w:szCs w:val="19"/>
              </w:rPr>
              <w:t xml:space="preserve">Naskah:</w:t>
            </w:r>
          </w:p>
          <w:p>
            <w:r>
              <w:rPr>
                <w:i/>
                <w:iCs/>
                <w:color w:val="1E3A8A"/>
                <w:sz w:val="22"/>
                <w:szCs w:val="22"/>
              </w:rPr>
              <w:t xml:space="preserve">“Setelah menelusuri data lebih dalam menggunakan lima teknik analisis, kami menemukan tiga bukti kunci. Pertama, 95,2% dari total penurunan berasal dari hanya 4 dari 8 wilayah kami — Quebec, Ontario, Yukon, dan Nunavut — sementara wilayah lain justru bertumbuh. Kedua, di dalam keempat wilayah tersebut, penurunan terjadi di hampir seluruh kategori produk secara bersamaan, bukan pada satu kategori tertentu. Ketiga, jumlah pelanggan kami relatif stabil (hanya turun 2,7%), tapi nilai transaksi rata-rata (AOV) turun jauh lebih signifikan sebesar 11,3%. Kami juga memastikan ini bukan karena diskon berlebihan — justru profit margin kami membaik dari 7,8% menjadi 11,7%.”</w:t>
            </w:r>
          </w:p>
        </w:tc>
      </w:tr>
    </w:tbl>
    <w:p>
      <w:pPr>
        <w:pStyle w:val="Heading1"/>
        <w:pBdr>
          <w:bottom w:val="single" w:color="2563EB" w:sz="6" w:space="4"/>
        </w:pBdr>
        <w:spacing w:after="140" w:before="320"/>
      </w:pPr>
      <w:r>
        <w:rPr>
          <w:b/>
          <w:bCs/>
          <w:color w:val="1F2937"/>
          <w:sz w:val="27"/>
          <w:szCs w:val="27"/>
        </w:rPr>
        <w:t xml:space="preserve">Bagian 4: INSIGHT (Apa yang Menyebabkan Masalah?)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563EB" w:sz="4"/>
              <w:left w:val="single" w:color="2563EB" w:sz="4"/>
              <w:bottom w:val="single" w:color="2563EB" w:sz="4"/>
              <w:right w:val="single" w:color="2563EB" w:sz="4"/>
            </w:tcBorders>
            <w:shd w:fill="EFF6FF" w:color="auto" w:val="clear"/>
            <w:tcMar>
              <w:top w:type="dxa" w:w="160"/>
              <w:left w:type="dxa" w:w="220"/>
              <w:bottom w:type="dxa" w:w="160"/>
              <w:right w:type="dxa" w:w="220"/>
            </w:tcMar>
          </w:tcPr>
          <w:p>
            <w:pPr>
              <w:spacing w:after="100"/>
            </w:pPr>
            <w:r>
              <w:rPr>
                <w:b/>
                <w:bCs/>
                <w:color w:val="2563EB"/>
                <w:sz w:val="19"/>
                <w:szCs w:val="19"/>
              </w:rPr>
              <w:t xml:space="preserve">Naskah:</w:t>
            </w:r>
          </w:p>
          <w:p>
            <w:r>
              <w:rPr>
                <w:i/>
                <w:iCs/>
                <w:color w:val="1E3A8A"/>
                <w:sz w:val="22"/>
                <w:szCs w:val="22"/>
              </w:rPr>
              <w:t xml:space="preserve">“Ketiga bukti ini bersama-sama menceritakan satu kesimpulan: ini bukan masalah nasional, bukan masalah produk tertentu, dan bukan masalah strategi harga internal kami. Ini adalah masalah REGIONAL yang spesifik pada empat wilayah tersebut, dan pelanggan yang ada di sana kini membeli dalam nilai yang lebih kecil dibanding sebelumnya. Kemungkinan besar, ada faktor eksternal — seperti aktivitas kompetitor atau perubahan kondisi pasar lokal — yang memengaruhi keempat wilayah ini secara khusus, namun ini memerlukan konfirmasi lebih lanjut karena data internal kami tidak mencakup informasi kompetitor.”</w:t>
            </w:r>
          </w:p>
        </w:tc>
      </w:tr>
    </w:tbl>
    <w:p>
      <w:pPr>
        <w:pStyle w:val="Heading1"/>
        <w:pBdr>
          <w:bottom w:val="single" w:color="2563EB" w:sz="6" w:space="4"/>
        </w:pBdr>
        <w:spacing w:after="140" w:before="320"/>
      </w:pPr>
      <w:r>
        <w:rPr>
          <w:b/>
          <w:bCs/>
          <w:color w:val="1F2937"/>
          <w:sz w:val="27"/>
          <w:szCs w:val="27"/>
        </w:rPr>
        <w:t xml:space="preserve">Bagian 5: RECOMMENDATION (Apa yang Sebaiknya Dilakukan?)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563EB" w:sz="4"/>
              <w:left w:val="single" w:color="2563EB" w:sz="4"/>
              <w:bottom w:val="single" w:color="2563EB" w:sz="4"/>
              <w:right w:val="single" w:color="2563EB" w:sz="4"/>
            </w:tcBorders>
            <w:shd w:fill="EFF6FF" w:color="auto" w:val="clear"/>
            <w:tcMar>
              <w:top w:type="dxa" w:w="160"/>
              <w:left w:type="dxa" w:w="220"/>
              <w:bottom w:type="dxa" w:w="160"/>
              <w:right w:type="dxa" w:w="220"/>
            </w:tcMar>
          </w:tcPr>
          <w:p>
            <w:pPr>
              <w:spacing w:after="100"/>
            </w:pPr>
            <w:r>
              <w:rPr>
                <w:b/>
                <w:bCs/>
                <w:color w:val="2563EB"/>
                <w:sz w:val="19"/>
                <w:szCs w:val="19"/>
              </w:rPr>
              <w:t xml:space="preserve">Naskah:</w:t>
            </w:r>
          </w:p>
          <w:p>
            <w:r>
              <w:rPr>
                <w:i/>
                <w:iCs/>
                <w:color w:val="1E3A8A"/>
                <w:sz w:val="22"/>
                <w:szCs w:val="22"/>
              </w:rPr>
              <w:t xml:space="preserve">“Kami merekomendasikan tiga langkah. Pertama, dan yang paling mendesak, adalah melakukan investigasi cepat terhadap kompetitor dan kondisi pasar di keempat wilayah tersebut — ini murah dan cepat, serta akan memastikan langkah-langkah berikutnya tepat sasaran. Kedua, secara paralel, kami ingin meluncurkan kampanye promosi yang tertarget khusus untuk mendorong nilai transaksi — misalnya lewat cross-sell atau bundling — bukan diskon flat yang akan menekan margin yang justru sedang membaik. Ketiga, kami akan menjalankan program retensi untuk pelanggan bernilai tinggi yang sudah ada di keempat wilayah ini, karena mereka masih ada, hanya berkurang nilai transaksinya. Dengan pendekatan ini, kami optimis dapat memulihkan sebagian besar dari gap penurunan $41.375 per bulan, tanpa harus mengorbankan margin keuntungan yang sudah kami capai.”</w:t>
            </w:r>
          </w:p>
        </w:tc>
      </w:tr>
    </w:tbl>
    <w:p>
      <w:pPr>
        <w:spacing w:after="200"/>
      </w:pPr>
    </w:p>
    <w:p>
      <w:pPr>
        <w:pStyle w:val="Heading1"/>
        <w:pBdr>
          <w:bottom w:val="single" w:color="EA580C" w:sz="6" w:space="4"/>
        </w:pBdr>
        <w:spacing w:after="140" w:before="320"/>
      </w:pPr>
      <w:r>
        <w:rPr>
          <w:b/>
          <w:bCs/>
          <w:color w:val="1F2937"/>
          <w:sz w:val="27"/>
          <w:szCs w:val="27"/>
        </w:rPr>
        <w:t xml:space="preserve">Ringkasan Alur Cerita (Recap)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A580C" w:sz="4"/>
              <w:left w:val="single" w:color="EA580C" w:sz="4"/>
              <w:bottom w:val="single" w:color="EA580C" w:sz="4"/>
              <w:right w:val="single" w:color="EA580C" w:sz="4"/>
            </w:tcBorders>
            <w:shd w:fill="FFF7ED" w:color="auto" w:val="clear"/>
            <w:tcMar>
              <w:top w:type="dxa" w:w="150"/>
              <w:left w:type="dxa" w:w="200"/>
              <w:bottom w:type="dxa" w:w="150"/>
              <w:right w:type="dxa" w:w="200"/>
            </w:tcMar>
          </w:tcPr>
          <w:p>
            <w:r>
              <w:rPr>
                <w:i/>
                <w:iCs/>
                <w:color w:val="9A3412"/>
                <w:sz w:val="21"/>
                <w:szCs w:val="21"/>
              </w:rPr>
              <w:t xml:space="preserve">Situation: Penjualan stabil ($302.530/bln) → Complication: Turun 33,2% dalam 3 bulan, memburuk setiap bulan → Resolution: Investigasi wilayah → promosi tertarget AOV → retensi pelanggan bernilai tinggi.</w:t>
            </w:r>
          </w:p>
        </w:tc>
      </w:tr>
    </w:tbl>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2026-09-02T07:04:10.244Z</dcterms:created>
  <dcterms:modified xsi:type="dcterms:W3CDTF">2026-09-02T07:04:10.244Z</dcterms:modified>
</cp:coreProperties>
</file>

<file path=docProps/custom.xml><?xml version="1.0" encoding="utf-8"?>
<Properties xmlns="http://schemas.openxmlformats.org/officeDocument/2006/custom-properties" xmlns:vt="http://schemas.openxmlformats.org/officeDocument/2006/docPropsVTypes"/>
</file>