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563EB"/>
          <w:sz w:val="20"/>
          <w:szCs w:val="20"/>
        </w:rPr>
        <w:t xml:space="preserve">MINGGU 9 — HARI SENIN</w:t>
      </w:r>
    </w:p>
    <w:p>
      <w:pPr>
        <w:spacing w:after="180"/>
        <w:jc w:val="center"/>
      </w:pPr>
      <w:r>
        <w:rPr>
          <w:b/>
          <w:bCs/>
          <w:color w:val="1F2937"/>
          <w:sz w:val="34"/>
          <w:szCs w:val="34"/>
        </w:rPr>
        <w:t xml:space="preserve">Finding the Root Cause</w:t>
      </w:r>
    </w:p>
    <w:p>
      <w:pPr>
        <w:spacing w:after="60"/>
      </w:pPr>
      <w:r>
        <w:rPr>
          <w:b/>
          <w:bCs/>
          <w:color w:val="1F2937"/>
          <w:sz w:val="20"/>
          <w:szCs w:val="20"/>
        </w:rPr>
        <w:t xml:space="preserve">Studi Kasus: </w:t>
      </w:r>
      <w:r>
        <w:rPr>
          <w:color w:val="374151"/>
          <w:sz w:val="20"/>
          <w:szCs w:val="20"/>
        </w:rPr>
        <w:t xml:space="preserve">Analisis Penurunan Penjualan — Superstore Sales Dataset</w:t>
      </w:r>
    </w:p>
    <w:p>
      <w:pPr>
        <w:spacing w:after="60"/>
      </w:pPr>
      <w:r>
        <w:rPr>
          <w:b/>
          <w:bCs/>
          <w:color w:val="1F2937"/>
          <w:sz w:val="20"/>
          <w:szCs w:val="20"/>
        </w:rPr>
        <w:t xml:space="preserve">Topik: </w:t>
      </w:r>
      <w:r>
        <w:rPr>
          <w:color w:val="374151"/>
          <w:sz w:val="20"/>
          <w:szCs w:val="20"/>
        </w:rPr>
        <w:t xml:space="preserve">Problem Solving &amp; Business Recommendation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Sumber data: Superstore Sales Dataset (data transaksi retail riil, 8.399 baris) — dianalisis periode baseline (Nov 2010–Feb 2011) dibandingkan periode penurunan (Mar–Jun 2011).</w:t>
      </w:r>
    </w:p>
    <w:p>
      <w:pPr>
        <w:pStyle w:val="Heading1"/>
        <w:pBdr>
          <w:bottom w:val="single" w:color="2563EB" w:sz="6" w:space="4"/>
        </w:pBdr>
        <w:spacing w:after="150" w:before="300"/>
      </w:pPr>
      <w:r>
        <w:rPr>
          <w:b/>
          <w:bCs/>
          <w:color w:val="1F2937"/>
          <w:sz w:val="28"/>
          <w:szCs w:val="28"/>
        </w:rPr>
        <w:t xml:space="preserve">1 Masalah Utama yang Paling Penting untuk Diselesaikan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1E3A8A"/>
                <w:sz w:val="21"/>
                <w:szCs w:val="21"/>
              </w:rPr>
              <w:t xml:space="preserve">Penjualan mengalami penurunan yang LUAS (mencakup hampir seluruh kategori produk) yang TERKONSENTRASI di 4 wilayah tertentu — Quebec, Ontario, Yukon, dan Nunavut — sementara wilayah lain (Prarie, West, Northwest Territories) justru bertumbuh pada periode yang sama (Maret–Juni 2011). Masalah ini bersifat REGIONAL, bukan spesifik satu kategori/produk.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i/>
          <w:iCs/>
          <w:color w:val="6B7280"/>
          <w:sz w:val="21"/>
          <w:szCs w:val="21"/>
        </w:rPr>
        <w:t xml:space="preserve">Kesimpulan ini merevisi dugaan awal di Problem Tree (Minggu 8) yang sempat menyoroti kategori Office Supplies/Appliances sebagai penyebab utama. Analisis lebih dalam menggunakan 5 teknik di bawah menunjukkan bahwa kategori bukan pembeda utama — penurunan terjadi di hampir semua kategori, TAPI hanya di wilayah-wilayah tertentu.</w:t>
      </w:r>
    </w:p>
    <w:p>
      <w:pPr>
        <w:pStyle w:val="Heading1"/>
        <w:pBdr>
          <w:bottom w:val="single" w:color="2563EB" w:sz="6" w:space="4"/>
        </w:pBdr>
        <w:spacing w:after="150" w:before="300"/>
      </w:pPr>
      <w:r>
        <w:rPr>
          <w:b/>
          <w:bCs/>
          <w:color w:val="1F2937"/>
          <w:sz w:val="28"/>
          <w:szCs w:val="28"/>
        </w:rPr>
        <w:t xml:space="preserve">Penerapan 5 Teknik Analisis</w:t>
      </w:r>
    </w:p>
    <w:p>
      <w:pPr>
        <w:spacing w:after="100" w:before="180"/>
      </w:pPr>
      <w:r>
        <w:rPr>
          <w:b/>
          <w:bCs/>
          <w:color w:val="2563EB"/>
          <w:sz w:val="22"/>
          <w:szCs w:val="22"/>
        </w:rPr>
        <w:t xml:space="preserve">1. Trend Analysis</w:t>
      </w:r>
    </w:p>
    <w:p>
      <w:pPr>
        <w:spacing w:after="110"/>
      </w:pPr>
      <w:r>
        <w:rPr>
          <w:sz w:val="21"/>
          <w:szCs w:val="21"/>
        </w:rPr>
        <w:t xml:space="preserve">Tren total penjualan bulanan menunjukkan penurunan konsisten 3 bulan berturut-turut: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3000"/>
      </w:tblGrid>
      <w:tr>
        <w:tc>
          <w:tcPr>
            <w:tcW w:type="dxa" w:w="30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Bulan</w:t>
            </w:r>
          </w:p>
        </w:tc>
        <w:tc>
          <w:tcPr>
            <w:tcW w:type="dxa" w:w="38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Sales</w:t>
            </w:r>
          </w:p>
        </w:tc>
        <w:tc>
          <w:tcPr>
            <w:tcW w:type="dxa" w:w="30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Perubahan MoM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Maret 2011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$296.036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April 2011</w:t>
            </w:r>
          </w:p>
        </w:tc>
        <w:tc>
          <w:tcPr>
            <w:tcW w:type="dxa" w:w="38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$288.213</w:t>
            </w:r>
          </w:p>
        </w:tc>
        <w:tc>
          <w:tcPr>
            <w:tcW w:type="dxa" w:w="30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-2,6%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Mei 2011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$262.628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-8,9%</w:t>
            </w:r>
          </w:p>
        </w:tc>
      </w:tr>
      <w:tr>
        <w:tc>
          <w:tcPr>
            <w:tcW w:type="dxa" w:w="30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Juni 2011</w:t>
            </w:r>
          </w:p>
        </w:tc>
        <w:tc>
          <w:tcPr>
            <w:tcW w:type="dxa" w:w="38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$197.741</w:t>
            </w:r>
          </w:p>
        </w:tc>
        <w:tc>
          <w:tcPr>
            <w:tcW w:type="dxa" w:w="30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-24,7%</w:t>
            </w:r>
          </w:p>
        </w:tc>
      </w:tr>
    </w:tbl>
    <w:p>
      <w:pPr>
        <w:spacing w:after="100" w:before="180"/>
      </w:pPr>
      <w:r>
        <w:rPr>
          <w:b/>
          <w:bCs/>
          <w:color w:val="2563EB"/>
          <w:sz w:val="22"/>
          <w:szCs w:val="22"/>
        </w:rPr>
        <w:t xml:space="preserve">2. Contribution Analysis</w:t>
      </w:r>
    </w:p>
    <w:p>
      <w:pPr>
        <w:spacing w:after="110"/>
      </w:pPr>
      <w:r>
        <w:rPr>
          <w:sz w:val="21"/>
          <w:szCs w:val="21"/>
        </w:rPr>
        <w:t xml:space="preserve">Kontribusi tiap wilayah terhadap total penurunan (dari selisih rata-rata bulanan, baseline vs decline):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3000"/>
      </w:tblGrid>
      <w:tr>
        <w:tc>
          <w:tcPr>
            <w:tcW w:type="dxa" w:w="30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Wilayah</w:t>
            </w:r>
          </w:p>
        </w:tc>
        <w:tc>
          <w:tcPr>
            <w:tcW w:type="dxa" w:w="38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Kontribusi Penurunan (%)</w:t>
            </w:r>
          </w:p>
        </w:tc>
        <w:tc>
          <w:tcPr>
            <w:tcW w:type="dxa" w:w="30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Kumulatif (%)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Quebec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35,8%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35,8%</w:t>
            </w:r>
          </w:p>
        </w:tc>
      </w:tr>
      <w:tr>
        <w:tc>
          <w:tcPr>
            <w:tcW w:type="dxa" w:w="30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Ontario</w:t>
            </w:r>
          </w:p>
        </w:tc>
        <w:tc>
          <w:tcPr>
            <w:tcW w:type="dxa" w:w="38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27,3%</w:t>
            </w:r>
          </w:p>
        </w:tc>
        <w:tc>
          <w:tcPr>
            <w:tcW w:type="dxa" w:w="30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63,1%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Yukon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21,5%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84,6%</w:t>
            </w:r>
          </w:p>
        </w:tc>
      </w:tr>
      <w:tr>
        <w:tc>
          <w:tcPr>
            <w:tcW w:type="dxa" w:w="30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Nunavut</w:t>
            </w:r>
          </w:p>
        </w:tc>
        <w:tc>
          <w:tcPr>
            <w:tcW w:type="dxa" w:w="38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10,6%</w:t>
            </w:r>
          </w:p>
        </w:tc>
        <w:tc>
          <w:tcPr>
            <w:tcW w:type="dxa" w:w="30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95,2%</w:t>
            </w:r>
          </w:p>
        </w:tc>
      </w:tr>
    </w:tbl>
    <w:p>
      <w:pPr>
        <w:spacing w:after="100"/>
      </w:pPr>
    </w:p>
    <w:p>
      <w:pPr>
        <w:spacing w:after="110"/>
      </w:pPr>
      <w:r>
        <w:rPr>
          <w:i/>
          <w:iCs/>
          <w:sz w:val="21"/>
          <w:szCs w:val="21"/>
        </w:rPr>
        <w:t xml:space="preserve">Sebagai perbandingan, saat kontribusi dipecah lebih detail per kombinasi Wilayah × Kategori, TIDAK ADA satu kategori pun yang mendominasi — kontribusi tunggal terbesar (Ontario-Technology) hanya 14,9% dari total penurunan. Ini mengonfirmasi bahwa WILAYAH adalah pembeda utama, bukan kategori produk.</w:t>
      </w:r>
    </w:p>
    <w:p>
      <w:pPr>
        <w:spacing w:after="100" w:before="180"/>
      </w:pPr>
      <w:r>
        <w:rPr>
          <w:b/>
          <w:bCs/>
          <w:color w:val="2563EB"/>
          <w:sz w:val="22"/>
          <w:szCs w:val="22"/>
        </w:rPr>
        <w:t xml:space="preserve">3. Segment Analysis</w:t>
      </w:r>
    </w:p>
    <w:p>
      <w:pPr>
        <w:spacing w:after="110"/>
      </w:pPr>
      <w:r>
        <w:rPr>
          <w:sz w:val="21"/>
          <w:szCs w:val="21"/>
        </w:rPr>
        <w:t xml:space="preserve">Memecah data per wilayah bermasalah berdasarkan kategori, untuk mengecek apakah penurunan hanya di 1 kategori atau merata di semua kategori: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00"/>
        <w:gridCol w:w="2400"/>
      </w:tblGrid>
      <w:tr>
        <w:tc>
          <w:tcPr>
            <w:tcW w:type="dxa" w:w="22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Wilayah</w:t>
            </w:r>
          </w:p>
        </w:tc>
        <w:tc>
          <w:tcPr>
            <w:tcW w:type="dxa" w:w="24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Furniture</w:t>
            </w:r>
          </w:p>
        </w:tc>
        <w:tc>
          <w:tcPr>
            <w:tcW w:type="dxa" w:w="25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Office Supplies</w:t>
            </w:r>
          </w:p>
        </w:tc>
        <w:tc>
          <w:tcPr>
            <w:tcW w:type="dxa" w:w="24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Quebec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-78,7%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-71,9%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-43,4%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Ontario</w:t>
            </w:r>
          </w:p>
        </w:tc>
        <w:tc>
          <w:tcPr>
            <w:tcW w:type="dxa" w:w="2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+37,9%</w:t>
            </w:r>
          </w:p>
        </w:tc>
        <w:tc>
          <w:tcPr>
            <w:tcW w:type="dxa" w:w="25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-47,6%</w:t>
            </w:r>
          </w:p>
        </w:tc>
        <w:tc>
          <w:tcPr>
            <w:tcW w:type="dxa" w:w="2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-46,0%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Yukon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-31,8%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-51,5%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-43,2%</w:t>
            </w:r>
          </w:p>
        </w:tc>
      </w:tr>
      <w:tr>
        <w:tc>
          <w:tcPr>
            <w:tcW w:type="dxa" w:w="22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Nunavut</w:t>
            </w:r>
          </w:p>
        </w:tc>
        <w:tc>
          <w:tcPr>
            <w:tcW w:type="dxa" w:w="2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-87,2%</w:t>
            </w:r>
          </w:p>
        </w:tc>
        <w:tc>
          <w:tcPr>
            <w:tcW w:type="dxa" w:w="25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+75,9%*</w:t>
            </w:r>
          </w:p>
        </w:tc>
        <w:tc>
          <w:tcPr>
            <w:tcW w:type="dxa" w:w="24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-96,9%</w:t>
            </w:r>
          </w:p>
        </w:tc>
      </w:tr>
    </w:tbl>
    <w:p>
      <w:pPr>
        <w:spacing w:after="60"/>
      </w:pPr>
    </w:p>
    <w:p>
      <w:pPr>
        <w:spacing w:after="110"/>
      </w:pPr>
      <w:r>
        <w:rPr>
          <w:i/>
          <w:iCs/>
          <w:color w:val="6B7280"/>
          <w:sz w:val="18"/>
          <w:szCs w:val="18"/>
        </w:rPr>
        <w:t xml:space="preserve">*Basis Office Supplies di Nunavut sangat kecil ($833/bulan), sehingga persentase perubahannya tidak terlalu bermakna secara nilai absolut.</w:t>
      </w:r>
    </w:p>
    <w:p>
      <w:pPr>
        <w:spacing w:after="100"/>
      </w:pPr>
    </w:p>
    <w:p>
      <w:pPr>
        <w:spacing w:after="110"/>
      </w:pPr>
      <w:r>
        <w:rPr>
          <w:i/>
          <w:iCs/>
          <w:sz w:val="21"/>
          <w:szCs w:val="21"/>
        </w:rPr>
        <w:t xml:space="preserve">Pada 3 dari 4 wilayah (Quebec, Yukon, Nunavut), SEMUA kategori turun tajam secara bersamaan — bukan cuma satu kategori. Ini pola yang khas masalah regional (misal: kondisi ekonomi lokal, aktivitas kompetitor di wilayah tsb, atau masalah operasional lokal), bukan masalah produk tertentu.</w:t>
      </w:r>
    </w:p>
    <w:p>
      <w:pPr>
        <w:spacing w:after="100" w:before="180"/>
      </w:pPr>
      <w:r>
        <w:rPr>
          <w:b/>
          <w:bCs/>
          <w:color w:val="2563EB"/>
          <w:sz w:val="22"/>
          <w:szCs w:val="22"/>
        </w:rPr>
        <w:t xml:space="preserve">4. Comparison Analysis</w:t>
      </w:r>
    </w:p>
    <w:p>
      <w:pPr>
        <w:spacing w:after="110"/>
      </w:pPr>
      <w:r>
        <w:rPr>
          <w:sz w:val="21"/>
          <w:szCs w:val="21"/>
        </w:rPr>
        <w:t xml:space="preserve">Membandingkan agregat 4 wilayah bermasalah vs 3 wilayah yang tumbuh, terhadap baseline masing-masing: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80"/>
        <w:gridCol w:w="1080"/>
        <w:gridCol w:w="1080"/>
        <w:gridCol w:w="1080"/>
        <w:gridCol w:w="1080"/>
      </w:tblGrid>
      <w:tr>
        <w:tc>
          <w:tcPr>
            <w:tcW w:type="dxa" w:w="26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Kelompok Wilayah</w:t>
            </w:r>
          </w:p>
        </w:tc>
        <w:tc>
          <w:tcPr>
            <w:tcW w:type="dxa" w:w="158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108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</w:t>
            </w:r>
          </w:p>
        </w:tc>
        <w:tc>
          <w:tcPr>
            <w:tcW w:type="dxa" w:w="108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</w:t>
            </w:r>
          </w:p>
        </w:tc>
        <w:tc>
          <w:tcPr>
            <w:tcW w:type="dxa" w:w="108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Mei</w:t>
            </w:r>
          </w:p>
        </w:tc>
        <w:tc>
          <w:tcPr>
            <w:tcW w:type="dxa" w:w="108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4 Wilayah Bermasalah</w:t>
            </w:r>
          </w:p>
        </w:tc>
        <w:tc>
          <w:tcPr>
            <w:tcW w:type="dxa" w:w="15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$152.413</w:t>
            </w:r>
          </w:p>
        </w:tc>
        <w:tc>
          <w:tcPr>
            <w:tcW w:type="dxa" w:w="10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$93.916</w:t>
            </w:r>
          </w:p>
        </w:tc>
        <w:tc>
          <w:tcPr>
            <w:tcW w:type="dxa" w:w="10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$85.317</w:t>
            </w:r>
          </w:p>
        </w:tc>
        <w:tc>
          <w:tcPr>
            <w:tcW w:type="dxa" w:w="10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$112.091</w:t>
            </w:r>
          </w:p>
        </w:tc>
        <w:tc>
          <w:tcPr>
            <w:tcW w:type="dxa" w:w="10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$68.195</w:t>
            </w:r>
          </w:p>
        </w:tc>
      </w:tr>
      <w:tr>
        <w:tc>
          <w:tcPr>
            <w:tcW w:type="dxa" w:w="260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3 Wilayah Tumbuh</w:t>
            </w:r>
          </w:p>
        </w:tc>
        <w:tc>
          <w:tcPr>
            <w:tcW w:type="dxa" w:w="158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$115.285</w:t>
            </w:r>
          </w:p>
        </w:tc>
        <w:tc>
          <w:tcPr>
            <w:tcW w:type="dxa" w:w="108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$178.068</w:t>
            </w:r>
          </w:p>
        </w:tc>
        <w:tc>
          <w:tcPr>
            <w:tcW w:type="dxa" w:w="108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$140.391</w:t>
            </w:r>
          </w:p>
        </w:tc>
        <w:tc>
          <w:tcPr>
            <w:tcW w:type="dxa" w:w="108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$132.996</w:t>
            </w:r>
          </w:p>
        </w:tc>
        <w:tc>
          <w:tcPr>
            <w:tcW w:type="dxa" w:w="1080"/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$107.458</w:t>
            </w:r>
          </w:p>
        </w:tc>
      </w:tr>
    </w:tbl>
    <w:p>
      <w:pPr>
        <w:spacing w:after="100"/>
      </w:pPr>
    </w:p>
    <w:p>
      <w:pPr>
        <w:spacing w:after="110"/>
      </w:pPr>
      <w:r>
        <w:rPr>
          <w:i/>
          <w:iCs/>
          <w:sz w:val="21"/>
          <w:szCs w:val="21"/>
        </w:rPr>
        <w:t xml:space="preserve">Sepanjang periode Maret–Juni, 4 wilayah bermasalah SELALU berada di bawah baseline mereka sendiri, sementara 3 wilayah tumbuh SELALU berada di atas baseline mereka. Kontras ini konsisten dan tidak tumpang tindih — memperkuat bahwa ini murni persoalan regional.</w:t>
      </w:r>
    </w:p>
    <w:p>
      <w:pPr>
        <w:spacing w:after="100" w:before="180"/>
      </w:pPr>
      <w:r>
        <w:rPr>
          <w:b/>
          <w:bCs/>
          <w:color w:val="2563EB"/>
          <w:sz w:val="22"/>
          <w:szCs w:val="22"/>
        </w:rPr>
        <w:t xml:space="preserve">5. Drill Down Analysis</w:t>
      </w: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1"/>
                <w:szCs w:val="21"/>
              </w:rPr>
              <w:t xml:space="preserve">Sales turun 33,2% (Mar–Jun 2011)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2563EB"/>
          <w:sz w:val="26"/>
          <w:szCs w:val="26"/>
        </w:rPr>
        <w:t xml:space="preserve">↓</w:t>
      </w: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1"/>
                <w:szCs w:val="21"/>
              </w:rPr>
              <w:t xml:space="preserve">4 dari 8 wilayah menyumbang 95,2% penurunan (Quebec, Ontario, Yukon, Nunavut)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2563EB"/>
          <w:sz w:val="26"/>
          <w:szCs w:val="26"/>
        </w:rPr>
        <w:t xml:space="preserve">↓</w:t>
      </w: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1"/>
                <w:szCs w:val="21"/>
              </w:rPr>
              <w:t xml:space="preserve">Di dalam wilayah tsb, penurunan terjadi di HAMPIR SEMUA kategori (bukan 1 kategori spesifik)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2563EB"/>
          <w:sz w:val="26"/>
          <w:szCs w:val="26"/>
        </w:rPr>
        <w:t xml:space="preserve">↓</w:t>
      </w: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FFF7ED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EA580C"/>
                <w:sz w:val="21"/>
                <w:szCs w:val="21"/>
              </w:rPr>
              <w:t xml:space="preserve">Kontribusi kombinasi Wilayah×Kategori tersebar merata, tidak ada yang dominan (maks 14,9%)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563EB" w:sz="6" w:space="4"/>
        </w:pBdr>
        <w:spacing w:after="150" w:before="300"/>
      </w:pPr>
      <w:r>
        <w:rPr>
          <w:b/>
          <w:bCs/>
          <w:color w:val="1F2937"/>
          <w:sz w:val="28"/>
          <w:szCs w:val="28"/>
        </w:rPr>
        <w:t xml:space="preserve">Minimal 5 Bukti Data Pendukung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2563EB"/>
                <w:sz w:val="21"/>
                <w:szCs w:val="21"/>
              </w:rPr>
              <w:t xml:space="preserve">Bukti Data #1: </w:t>
            </w:r>
            <w:r>
              <w:rPr>
                <w:color w:val="1E3A8A"/>
                <w:sz w:val="21"/>
                <w:szCs w:val="21"/>
              </w:rPr>
              <w:t xml:space="preserve">Total penjualan turun konsisten 3 bulan berturut-turut (April -2,6%, Mei -8,9%, Juni -24,7%), total -33,2% dari Maret ke Juni 2011 (Trend Analysis).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2563EB"/>
                <w:sz w:val="21"/>
                <w:szCs w:val="21"/>
              </w:rPr>
              <w:t xml:space="preserve">Bukti Data #2: </w:t>
            </w:r>
            <w:r>
              <w:rPr>
                <w:color w:val="1E3A8A"/>
                <w:sz w:val="21"/>
                <w:szCs w:val="21"/>
              </w:rPr>
              <w:t xml:space="preserve">4 dari 8 wilayah (Quebec, Ontario, Yukon, Nunavut) menyumbang 95,2% dari total penurunan penjualan (Contribution Analysis).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2563EB"/>
                <w:sz w:val="21"/>
                <w:szCs w:val="21"/>
              </w:rPr>
              <w:t xml:space="preserve">Bukti Data #3: </w:t>
            </w:r>
            <w:r>
              <w:rPr>
                <w:color w:val="1E3A8A"/>
                <w:sz w:val="21"/>
                <w:szCs w:val="21"/>
              </w:rPr>
              <w:t xml:space="preserve">Di 3 dari 4 wilayah bermasalah, penurunan terjadi di SEMUA kategori produk secara bersamaan (Quebec: -78,7% s.d. -43,4%; Yukon: -31,8% s.d. -51,5%) — bukan cuma 1 kategori (Segment Analysis).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2563EB"/>
                <w:sz w:val="21"/>
                <w:szCs w:val="21"/>
              </w:rPr>
              <w:t xml:space="preserve">Bukti Data #4: </w:t>
            </w:r>
            <w:r>
              <w:rPr>
                <w:color w:val="1E3A8A"/>
                <w:sz w:val="21"/>
                <w:szCs w:val="21"/>
              </w:rPr>
              <w:t xml:space="preserve">Sepanjang Mar–Jun 2011, 4 wilayah bermasalah selalu di BAWAH baseline mereka ($152.413), sementara 3 wilayah lain selalu di ATAS baseline mereka ($115.285) — kontras yang konsisten (Comparison Analysis).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2563EB"/>
                <w:sz w:val="21"/>
                <w:szCs w:val="21"/>
              </w:rPr>
              <w:t xml:space="preserve">Bukti Data #5: </w:t>
            </w:r>
            <w:r>
              <w:rPr>
                <w:color w:val="1E3A8A"/>
                <w:sz w:val="21"/>
                <w:szCs w:val="21"/>
              </w:rPr>
              <w:t xml:space="preserve">Kontribusi kombinasi Wilayah×Kategori paling besar sekalipun (Ontario-Technology) hanya 14,9% dari total penurunan — tidak ada kategori yang mendominasi, mengonfirmasi wilayah sebagai pembeda utama (Drill Down + Contribution Analysis).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2563EB"/>
                <w:sz w:val="21"/>
                <w:szCs w:val="21"/>
              </w:rPr>
              <w:t xml:space="preserve">Bukti Data #6: </w:t>
            </w:r>
            <w:r>
              <w:rPr>
                <w:color w:val="1E3A8A"/>
                <w:sz w:val="21"/>
                <w:szCs w:val="21"/>
              </w:rPr>
              <w:t xml:space="preserve">AOV turun tajam (-11,3%) sementara jumlah pelanggan relatif stabil (-2,7%), dan discount rate/profit margin tidak menunjukkan perubahan strategi pricing internal — mengindikasikan penyebab bersifat eksternal terhadap wilayah tertentu, bukan strategi internal perusahaan.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563EB" w:sz="6" w:space="4"/>
        </w:pBdr>
        <w:spacing w:after="150" w:before="300"/>
      </w:pPr>
      <w:r>
        <w:rPr>
          <w:b/>
          <w:bCs/>
          <w:color w:val="1F2937"/>
          <w:sz w:val="28"/>
          <w:szCs w:val="28"/>
        </w:rPr>
        <w:t xml:space="preserve">Kesimpulan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FFF7ED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9A3412"/>
                <w:sz w:val="21"/>
                <w:szCs w:val="21"/>
              </w:rPr>
              <w:t xml:space="preserve">Masalah utama yang paling penting untuk diselesaikan adalah PENURUNAN PENJUALAN REGIONAL yang luas di 4 wilayah (Quebec, Ontario, Yukon, Nunavut), bukan masalah pada kategori/produk tertentu. Implikasinya, solusi yang akan disusun pada hari-hari berikutnya (Minggu 9) harus BERBASIS WILAYAH — misalnya investigasi kondisi pasar/kompetitor lokal di ke-4 wilayah tersebut — bukan solusi berbasis kategori produk seperti yang sempat diasumsikan sebelumnya.</w:t>
            </w:r>
          </w:p>
        </w:tc>
      </w:tr>
    </w:tbl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2026-08-24T03:54:54.223Z</dcterms:created>
  <dcterms:modified xsi:type="dcterms:W3CDTF">2026-08-24T03:54:54.223Z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