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563EB"/>
          <w:sz w:val="20"/>
          <w:szCs w:val="20"/>
        </w:rPr>
        <w:t xml:space="preserve">TUGAS HARI SENIN (REVISI — DATA REAL)</w:t>
      </w:r>
    </w:p>
    <w:p>
      <w:pPr>
        <w:spacing w:after="180"/>
        <w:jc w:val="center"/>
      </w:pPr>
      <w:r>
        <w:rPr>
          <w:b/>
          <w:bCs/>
          <w:color w:val="1F2937"/>
          <w:sz w:val="34"/>
          <w:szCs w:val="34"/>
        </w:rPr>
        <w:t xml:space="preserve">Business Problem Statement</w:t>
      </w:r>
    </w:p>
    <w:p>
      <w:pPr>
        <w:spacing w:after="60"/>
      </w:pPr>
      <w:r>
        <w:rPr>
          <w:b/>
          <w:bCs/>
          <w:color w:val="1F2937"/>
          <w:sz w:val="20"/>
          <w:szCs w:val="20"/>
        </w:rPr>
        <w:t xml:space="preserve">Studi Kasus: </w:t>
      </w:r>
      <w:r>
        <w:rPr>
          <w:color w:val="374151"/>
          <w:sz w:val="20"/>
          <w:szCs w:val="20"/>
        </w:rPr>
        <w:t xml:space="preserve">Analisis Penurunan Penjualan — Superstore Sales Dataset</w:t>
      </w:r>
    </w:p>
    <w:p>
      <w:pPr>
        <w:spacing w:after="60"/>
      </w:pPr>
      <w:r>
        <w:rPr>
          <w:b/>
          <w:bCs/>
          <w:color w:val="1F2937"/>
          <w:sz w:val="20"/>
          <w:szCs w:val="20"/>
        </w:rPr>
        <w:t xml:space="preserve">Topik: </w:t>
      </w:r>
      <w:r>
        <w:rPr>
          <w:color w:val="374151"/>
          <w:sz w:val="20"/>
          <w:szCs w:val="20"/>
        </w:rPr>
        <w:t xml:space="preserve">Problem Solving &amp; Business Question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Sumber data: Superstore Sales Dataset (data transaksi retail riil, 8.399 baris) — dianalisis periode baseline (Nov 2010–Feb 2011) dibandingkan periode penurunan (Mar–Jun 2011).</w:t>
      </w:r>
    </w:p>
    <w:p>
      <w:pPr>
        <w:pStyle w:val="Heading1"/>
        <w:pBdr>
          <w:bottom w:val="single" w:color="2563EB" w:sz="6" w:space="4"/>
        </w:pBdr>
        <w:spacing w:after="150" w:before="300"/>
      </w:pPr>
      <w:r>
        <w:rPr>
          <w:b/>
          <w:bCs/>
          <w:color w:val="1F2937"/>
          <w:sz w:val="28"/>
          <w:szCs w:val="28"/>
        </w:rPr>
        <w:t xml:space="preserve">Kerangka Berpikir: Data → Insight → Problem → Business Question → Solution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dxa" w:w="74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Penerapan pada Data Real</w:t>
            </w:r>
          </w:p>
        </w:tc>
      </w:tr>
      <w:tr>
        <w:tc>
          <w:tcPr>
            <w:tcW w:type="dxa" w:w="2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Data</w:t>
            </w:r>
          </w:p>
        </w:tc>
        <w:tc>
          <w:tcPr>
            <w:tcW w:type="dxa" w:w="7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Total penjualan turun dari rata-rata $302.530/bulan (baseline) menjadi $261.155/bulan (periode Mar–Jun 2011)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Insight</w:t>
            </w:r>
          </w:p>
        </w:tc>
        <w:tc>
          <w:tcPr>
            <w:tcW w:type="dxa" w:w="7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Penurunan terjadi konsisten 3 bulan berturut-turut: April -2,6%, Mei -8,9%, Juni -24,7% (total -33,2% dari Maret ke Juni)</w:t>
            </w:r>
          </w:p>
        </w:tc>
      </w:tr>
      <w:tr>
        <w:tc>
          <w:tcPr>
            <w:tcW w:type="dxa" w:w="2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Problem</w:t>
            </w:r>
          </w:p>
        </w:tc>
        <w:tc>
          <w:tcPr>
            <w:tcW w:type="dxa" w:w="7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Ada penurunan penjualan nyata dan sistemik, terkonsentrasi pada wilayah &amp; kategori produk tertentu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Business Question</w:t>
            </w:r>
          </w:p>
        </w:tc>
        <w:tc>
          <w:tcPr>
            <w:tcW w:type="dxa" w:w="7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Faktor apa yang paling berkontribusi terhadap penurunan penjualan pada periode Maret–Juni 2011?</w:t>
            </w:r>
          </w:p>
        </w:tc>
      </w:tr>
      <w:tr>
        <w:tc>
          <w:tcPr>
            <w:tcW w:type="dxa" w:w="2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Solution</w:t>
            </w:r>
          </w:p>
        </w:tc>
        <w:tc>
          <w:tcPr>
            <w:tcW w:type="dxa" w:w="7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Akan disusun setelah root cause analysis (Hari Kamis)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50" w:before="300"/>
      </w:pPr>
      <w:r>
        <w:rPr>
          <w:b/>
          <w:bCs/>
          <w:color w:val="1F2937"/>
          <w:sz w:val="28"/>
          <w:szCs w:val="28"/>
        </w:rPr>
        <w:t xml:space="preserve">1. Problem Statement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1E3A8A"/>
                <w:sz w:val="21"/>
                <w:szCs w:val="21"/>
              </w:rPr>
              <w:t xml:space="preserve">Penjualan mengalami penurunan signifikan dan konsisten selama 3 bulan berturut-turut pada periode Maret–Juni 2011, dengan total penurunan sebesar 33,2% (dari $296.036 pada Maret menjadi $197.741 pada Juni). Dibandingkan rata-rata penjualan bulanan pada periode sebelumnya (Nov 2010–Feb 2011) sebesar $302.530, penjualan pada periode ini turun 13,7%. Penurunan bersifat berkelanjutan, bukan fluktuasi acak satu bulan, sehingga mengindikasikan adanya faktor sistemik yang memengaruhi performa penjualan.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50" w:before="300"/>
      </w:pPr>
      <w:r>
        <w:rPr>
          <w:b/>
          <w:bCs/>
          <w:color w:val="1F2937"/>
          <w:sz w:val="28"/>
          <w:szCs w:val="28"/>
        </w:rPr>
        <w:t xml:space="preserve">2. Business Context</w:t>
      </w:r>
    </w:p>
    <w:p>
      <w:pPr>
        <w:spacing w:after="90"/>
      </w:pPr>
      <w:r>
        <w:rPr>
          <w:sz w:val="21"/>
          <w:szCs w:val="21"/>
        </w:rPr>
        <w:t xml:space="preserve">• Perusahaan beroperasi di sektor ritel dengan penjualan sebagai indikator kesehatan bisnis utama, mencakup 3 kategori produk (Office Supplies, Furniture, Technology) dan 8 wilayah operasi.</w:t>
      </w:r>
    </w:p>
    <w:p>
      <w:pPr>
        <w:spacing w:after="90"/>
      </w:pPr>
      <w:r>
        <w:rPr>
          <w:sz w:val="21"/>
          <w:szCs w:val="21"/>
        </w:rPr>
        <w:t xml:space="preserve">• Sebelum periode penurunan, tren penjualan berada pada level yang relatif stabil (rata-rata $302.530/bulan) — sehingga penurunan 3 bulan berturut-turut merupakan penyimpangan (deviation) dari pola biasa.</w:t>
      </w:r>
    </w:p>
    <w:p>
      <w:pPr>
        <w:spacing w:after="90"/>
      </w:pPr>
      <w:r>
        <w:rPr>
          <w:sz w:val="21"/>
          <w:szCs w:val="21"/>
        </w:rPr>
        <w:t xml:space="preserve">• Analisis awal data menunjukkan penurunan TIDAK terjadi merata di semua wilayah: sebagian wilayah (Prarie, West, Northwest Territories) justru tumbuh pada periode yang sama — mengindikasikan masalah bersifat lokal/spesifik, bukan kondisi pasar makro yang memengaruhi seluruh bisnis.</w:t>
      </w:r>
    </w:p>
    <w:p>
      <w:pPr>
        <w:spacing w:after="90"/>
      </w:pPr>
      <w:r>
        <w:rPr>
          <w:sz w:val="21"/>
          <w:szCs w:val="21"/>
        </w:rPr>
        <w:t xml:space="preserve">• Profit margin justru naik dari 7,8% menjadi 11,7% pada periode penurunan — menunjukkan penurunan penjualan kemungkinan besar bukan disebabkan oleh diskon berlebihan atau tekanan biaya, melainkan oleh berkurangnya volume/nilai transaksi pada segmen tertentu.</w:t>
      </w:r>
    </w:p>
    <w:p>
      <w:pPr>
        <w:pStyle w:val="Heading1"/>
        <w:pBdr>
          <w:bottom w:val="single" w:color="2563EB" w:sz="6" w:space="4"/>
        </w:pBdr>
        <w:spacing w:after="150" w:before="300"/>
      </w:pPr>
      <w:r>
        <w:rPr>
          <w:b/>
          <w:bCs/>
          <w:color w:val="1F2937"/>
          <w:sz w:val="28"/>
          <w:szCs w:val="28"/>
        </w:rPr>
        <w:t xml:space="preserve">3. Business Impact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</w:t>
            </w:r>
          </w:p>
        </w:tc>
        <w:tc>
          <w:tcPr>
            <w:tcW w:type="dxa" w:w="74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Dampak</w:t>
            </w:r>
          </w:p>
        </w:tc>
      </w:tr>
      <w:tr>
        <w:tc>
          <w:tcPr>
            <w:tcW w:type="dxa" w:w="2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Finansial</w:t>
            </w:r>
          </w:p>
        </w:tc>
        <w:tc>
          <w:tcPr>
            <w:tcW w:type="dxa" w:w="7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Penurunan revenue $41.375/bulan (rata-rata) berpotensi mengurangi profitabilitas absolut meski margin persentase membaik; jika berlanjut, memengaruhi target kuartalan.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Operasional</w:t>
            </w:r>
          </w:p>
        </w:tc>
        <w:tc>
          <w:tcPr>
            <w:tcW w:type="dxa" w:w="7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Ketimpangan performa antar wilayah (4 dari 8 wilayah menyumbang 95,1% dari total penurunan) memerlukan perhatian khusus pada alokasi sumber daya sales/marketing.</w:t>
            </w:r>
          </w:p>
        </w:tc>
      </w:tr>
      <w:tr>
        <w:tc>
          <w:tcPr>
            <w:tcW w:type="dxa" w:w="2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Strategis</w:t>
            </w:r>
          </w:p>
        </w:tc>
        <w:tc>
          <w:tcPr>
            <w:tcW w:type="dxa" w:w="7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Kategori Office Supplies (khususnya sub-kategori Appliances, turun 61,8%) berisiko kehilangan pangsa pasar jika penyebabnya tidak segera diidentifikasi.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Reputasi/Kepercayaan</w:t>
            </w:r>
          </w:p>
        </w:tc>
        <w:tc>
          <w:tcPr>
            <w:tcW w:type="dxa" w:w="7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Tren negatif 3 bulan berturut-turut dapat memengaruhi kepercayaan manajemen dan tim internal jika tidak ada penjelasan/tindakan yang jelas.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50" w:before="300"/>
      </w:pPr>
      <w:r>
        <w:rPr>
          <w:b/>
          <w:bCs/>
          <w:color w:val="1F2937"/>
          <w:sz w:val="28"/>
          <w:szCs w:val="28"/>
        </w:rPr>
        <w:t xml:space="preserve">4. Stakeholder yang Berkepentingan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c>
          <w:tcPr>
            <w:tcW w:type="dxa" w:w="26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72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Kepentingan terhadap Masalah Ini</w:t>
            </w:r>
          </w:p>
        </w:tc>
      </w:tr>
      <w:tr>
        <w:tc>
          <w:tcPr>
            <w:tcW w:type="dxa" w:w="26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Manajemen / C-Level</w:t>
            </w:r>
          </w:p>
        </w:tc>
        <w:tc>
          <w:tcPr>
            <w:tcW w:type="dxa" w:w="72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Bertanggung jawab atas performa bisnis keseluruhan; butuh pemahaman cepat &amp; akurat untuk pengambilan keputusan strategis.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Tim Sales</w:t>
            </w:r>
          </w:p>
        </w:tc>
        <w:tc>
          <w:tcPr>
            <w:tcW w:type="dxa" w:w="7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Pihak yang paling terdampak langsung secara operasional, khususnya di wilayah Quebec, Ontario, Yukon, dan Nunavut.</w:t>
            </w:r>
          </w:p>
        </w:tc>
      </w:tr>
      <w:tr>
        <w:tc>
          <w:tcPr>
            <w:tcW w:type="dxa" w:w="26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Tim Marketing</w:t>
            </w:r>
          </w:p>
        </w:tc>
        <w:tc>
          <w:tcPr>
            <w:tcW w:type="dxa" w:w="72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Perlu tahu apakah penurunan terkait efektivitas kampanye atau positioning kategori Office Supplies.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Tim Finance</w:t>
            </w:r>
          </w:p>
        </w:tc>
        <w:tc>
          <w:tcPr>
            <w:tcW w:type="dxa" w:w="7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Perlu memproyeksikan ulang target keuangan mengingat revenue turun meski margin membaik.</w:t>
            </w:r>
          </w:p>
        </w:tc>
      </w:tr>
      <w:tr>
        <w:tc>
          <w:tcPr>
            <w:tcW w:type="dxa" w:w="26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Tim Operasional/Supply Chain</w:t>
            </w:r>
          </w:p>
        </w:tc>
        <w:tc>
          <w:tcPr>
            <w:tcW w:type="dxa" w:w="72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Perlu menyesuaikan perencanaan stok, khususnya untuk sub-kategori Appliances dan Envelopes yang turun tajam.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Data/Analyst Team</w:t>
            </w:r>
          </w:p>
        </w:tc>
        <w:tc>
          <w:tcPr>
            <w:tcW w:type="dxa" w:w="7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Bertanggung jawab menerjemahkan business question menjadi analisis data dan rekomendasi berbasis bukti.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50" w:before="300"/>
      </w:pPr>
      <w:r>
        <w:rPr>
          <w:b/>
          <w:bCs/>
          <w:color w:val="1F2937"/>
          <w:sz w:val="28"/>
          <w:szCs w:val="28"/>
        </w:rPr>
        <w:t xml:space="preserve">5. Informasi / Data yang Dibutuhkan (dan Sudah Tersedia)</w:t>
      </w:r>
    </w:p>
    <w:p>
      <w:pPr>
        <w:spacing w:after="90"/>
      </w:pPr>
      <w:r>
        <w:rPr>
          <w:sz w:val="21"/>
          <w:szCs w:val="21"/>
        </w:rPr>
        <w:t xml:space="preserve">• Data penjualan granular per produk, kategori, wilayah, dan tanggal — TERSEDIA (Superstore Sales Dataset, 8.399 baris transaksi).</w:t>
      </w:r>
    </w:p>
    <w:p>
      <w:pPr>
        <w:spacing w:after="90"/>
      </w:pPr>
      <w:r>
        <w:rPr>
          <w:sz w:val="21"/>
          <w:szCs w:val="21"/>
        </w:rPr>
        <w:t xml:space="preserve">• Data pelanggan (jumlah transaksi, nama pelanggan) — TERSEDIA.</w:t>
      </w:r>
    </w:p>
    <w:p>
      <w:pPr>
        <w:spacing w:after="90"/>
      </w:pPr>
      <w:r>
        <w:rPr>
          <w:sz w:val="21"/>
          <w:szCs w:val="21"/>
        </w:rPr>
        <w:t xml:space="preserve">• Data operasional: harga jual, diskon — TERSEDIA (kolom Discount, Unit Price, Profit).</w:t>
      </w:r>
    </w:p>
    <w:p>
      <w:pPr>
        <w:spacing w:after="90"/>
      </w:pPr>
      <w:r>
        <w:rPr>
          <w:sz w:val="21"/>
          <w:szCs w:val="21"/>
        </w:rPr>
        <w:t xml:space="preserve">• Data aktivitas marketing &amp; kondisi kompetitor — BELUM TERSEDIA dalam dataset ini; jika diperlukan, harus dikumpulkan terpisah.</w:t>
      </w:r>
    </w:p>
    <w:p>
      <w:pPr>
        <w:spacing w:after="90"/>
      </w:pPr>
      <w:r>
        <w:rPr>
          <w:sz w:val="21"/>
          <w:szCs w:val="21"/>
        </w:rPr>
        <w:t xml:space="preserve">• Feedback/komplain pelanggan — BELUM TERSEDIA dalam dataset ini.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2026-08-20T02:08:28.217Z</dcterms:created>
  <dcterms:modified xsi:type="dcterms:W3CDTF">2026-08-20T02:08:28.229Z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