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598EF" w14:textId="075E3544" w:rsidR="00512C52" w:rsidRDefault="00512C52" w:rsidP="00512C52">
      <w:pPr>
        <w:rPr>
          <w:rFonts w:ascii="Times New Roman" w:hAnsi="Times New Roman" w:cs="Times New Roman"/>
        </w:rPr>
      </w:pPr>
    </w:p>
    <w:p w14:paraId="442E2DCC" w14:textId="3A9FB883" w:rsidR="00512C52" w:rsidRDefault="00512C52" w:rsidP="00512C52">
      <w:pPr>
        <w:rPr>
          <w:rFonts w:ascii="Times New Roman" w:hAnsi="Times New Roman" w:cs="Times New Roman"/>
        </w:rPr>
      </w:pPr>
    </w:p>
    <w:p w14:paraId="1C76456B" w14:textId="0051ECD2" w:rsidR="00512C52" w:rsidRDefault="00512C52" w:rsidP="00512C52">
      <w:pPr>
        <w:rPr>
          <w:rFonts w:ascii="Times New Roman" w:hAnsi="Times New Roman" w:cs="Times New Roman"/>
        </w:rPr>
      </w:pPr>
    </w:p>
    <w:p w14:paraId="61F6EAAF" w14:textId="589636D5" w:rsidR="00512C52" w:rsidRDefault="00512C52" w:rsidP="00512C52">
      <w:pPr>
        <w:rPr>
          <w:rFonts w:ascii="Times New Roman" w:hAnsi="Times New Roman" w:cs="Times New Roman"/>
        </w:rPr>
      </w:pPr>
    </w:p>
    <w:p w14:paraId="15C269E4" w14:textId="5E650181" w:rsidR="00512C52" w:rsidRDefault="00512C52" w:rsidP="00512C52">
      <w:pPr>
        <w:rPr>
          <w:rFonts w:ascii="Times New Roman" w:hAnsi="Times New Roman" w:cs="Times New Roman"/>
        </w:rPr>
      </w:pPr>
    </w:p>
    <w:p w14:paraId="63F79C1C" w14:textId="58D82A10" w:rsidR="00512C52" w:rsidRDefault="00512C52" w:rsidP="00512C52">
      <w:pPr>
        <w:rPr>
          <w:rFonts w:ascii="Times New Roman" w:hAnsi="Times New Roman" w:cs="Times New Roman"/>
        </w:rPr>
      </w:pPr>
    </w:p>
    <w:p w14:paraId="77D28E29" w14:textId="63A4BFBE" w:rsidR="00B50E25" w:rsidRDefault="00B50E25" w:rsidP="00512C52">
      <w:pPr>
        <w:rPr>
          <w:rFonts w:ascii="Times New Roman" w:hAnsi="Times New Roman" w:cs="Times New Roman"/>
        </w:rPr>
      </w:pPr>
    </w:p>
    <w:p w14:paraId="425CB7D0" w14:textId="7A046D97" w:rsidR="00B50E25" w:rsidRDefault="00B50E25" w:rsidP="00512C52">
      <w:pPr>
        <w:rPr>
          <w:rFonts w:ascii="Times New Roman" w:hAnsi="Times New Roman" w:cs="Times New Roman"/>
        </w:rPr>
      </w:pPr>
    </w:p>
    <w:p w14:paraId="16ED418E" w14:textId="26F89644" w:rsidR="00B50E25" w:rsidRDefault="00B50E25" w:rsidP="00512C52">
      <w:pPr>
        <w:rPr>
          <w:rFonts w:ascii="Times New Roman" w:hAnsi="Times New Roman" w:cs="Times New Roman"/>
        </w:rPr>
      </w:pPr>
    </w:p>
    <w:p w14:paraId="29A97297" w14:textId="77777777" w:rsidR="00B50E25" w:rsidRDefault="00B50E25" w:rsidP="00512C52">
      <w:pPr>
        <w:rPr>
          <w:rFonts w:ascii="Times New Roman" w:hAnsi="Times New Roman" w:cs="Times New Roman"/>
        </w:rPr>
      </w:pPr>
    </w:p>
    <w:p w14:paraId="2ADDB742" w14:textId="16CC3286" w:rsidR="00512C52" w:rsidRPr="00DC6F12" w:rsidRDefault="00512C52" w:rsidP="00512C52">
      <w:pPr>
        <w:rPr>
          <w:rFonts w:ascii="Times New Roman" w:hAnsi="Times New Roman" w:cs="Times New Roman"/>
          <w:sz w:val="43"/>
          <w:szCs w:val="43"/>
        </w:rPr>
      </w:pPr>
    </w:p>
    <w:p w14:paraId="7E949802" w14:textId="5BBFAD02" w:rsidR="00512C52" w:rsidRPr="00DC6F12" w:rsidRDefault="00512C52" w:rsidP="00DC6F12">
      <w:pPr>
        <w:jc w:val="center"/>
        <w:rPr>
          <w:rFonts w:ascii="Times New Roman" w:hAnsi="Times New Roman" w:cs="Times New Roman"/>
          <w:sz w:val="43"/>
          <w:szCs w:val="43"/>
        </w:rPr>
      </w:pPr>
      <w:r w:rsidRPr="00DC6F12">
        <w:rPr>
          <w:rFonts w:ascii="Times New Roman" w:hAnsi="Times New Roman" w:cs="Times New Roman"/>
          <w:sz w:val="43"/>
          <w:szCs w:val="43"/>
        </w:rPr>
        <w:t>Estimating Option Price based on Black-Scholes-Merton Model and Double Exponential Jump Model</w:t>
      </w:r>
      <w:r w:rsidR="00DC6F12">
        <w:rPr>
          <w:rFonts w:ascii="Times New Roman" w:hAnsi="Times New Roman" w:cs="Times New Roman"/>
          <w:sz w:val="43"/>
          <w:szCs w:val="43"/>
        </w:rPr>
        <w:t xml:space="preserve"> - </w:t>
      </w:r>
      <w:r w:rsidR="00893973" w:rsidRPr="00DC6F12">
        <w:rPr>
          <w:rFonts w:ascii="Times New Roman" w:hAnsi="Times New Roman" w:cs="Times New Roman"/>
          <w:sz w:val="43"/>
          <w:szCs w:val="43"/>
        </w:rPr>
        <w:t>Based on AAPL Stock</w:t>
      </w:r>
    </w:p>
    <w:p w14:paraId="2EFA99C2" w14:textId="10370492" w:rsidR="00DC6F12" w:rsidRDefault="00DC6F12" w:rsidP="00DC6F12">
      <w:pPr>
        <w:jc w:val="center"/>
        <w:rPr>
          <w:rFonts w:ascii="Times New Roman" w:hAnsi="Times New Roman" w:cs="Times New Roman"/>
          <w:sz w:val="44"/>
        </w:rPr>
      </w:pPr>
    </w:p>
    <w:p w14:paraId="29B70A3D" w14:textId="77777777" w:rsidR="00DC6F12" w:rsidRDefault="00DC6F12" w:rsidP="00DC6F12">
      <w:pPr>
        <w:jc w:val="center"/>
        <w:rPr>
          <w:rFonts w:ascii="Times New Roman" w:hAnsi="Times New Roman" w:cs="Times New Roman"/>
          <w:sz w:val="44"/>
        </w:rPr>
      </w:pPr>
    </w:p>
    <w:p w14:paraId="3CF5AA4C" w14:textId="289E7A85" w:rsidR="00DC6F12" w:rsidRPr="00DC6F12" w:rsidRDefault="00DC6F12" w:rsidP="00DC6F12">
      <w:pPr>
        <w:jc w:val="center"/>
        <w:rPr>
          <w:rFonts w:ascii="Times New Roman" w:hAnsi="Times New Roman" w:cs="Times New Roman"/>
          <w:sz w:val="40"/>
          <w:szCs w:val="40"/>
        </w:rPr>
      </w:pPr>
      <w:r w:rsidRPr="00DC6F12">
        <w:rPr>
          <w:rFonts w:ascii="Times New Roman" w:hAnsi="Times New Roman" w:cs="Times New Roman"/>
          <w:sz w:val="40"/>
          <w:szCs w:val="40"/>
        </w:rPr>
        <w:t>Situ Ma</w:t>
      </w:r>
      <w:bookmarkStart w:id="0" w:name="_GoBack"/>
      <w:bookmarkEnd w:id="0"/>
    </w:p>
    <w:p w14:paraId="642E29CB" w14:textId="5A063F57" w:rsidR="00512C52" w:rsidRDefault="00512C52" w:rsidP="00512C52">
      <w:pPr>
        <w:rPr>
          <w:rFonts w:ascii="Times New Roman" w:hAnsi="Times New Roman" w:cs="Times New Roman"/>
        </w:rPr>
      </w:pPr>
    </w:p>
    <w:p w14:paraId="3CB8CA57" w14:textId="18374E5D" w:rsidR="00512C52" w:rsidRDefault="00512C52" w:rsidP="00512C52">
      <w:pPr>
        <w:rPr>
          <w:rFonts w:ascii="Times New Roman" w:hAnsi="Times New Roman" w:cs="Times New Roman"/>
        </w:rPr>
      </w:pPr>
    </w:p>
    <w:p w14:paraId="2C8EF148" w14:textId="02CB2CA7" w:rsidR="00512C52" w:rsidRDefault="00512C52" w:rsidP="00512C52">
      <w:pPr>
        <w:rPr>
          <w:rFonts w:ascii="Times New Roman" w:hAnsi="Times New Roman" w:cs="Times New Roman"/>
        </w:rPr>
      </w:pPr>
    </w:p>
    <w:p w14:paraId="477CBFCF" w14:textId="17D74A6F" w:rsidR="00512C52" w:rsidRDefault="00512C52" w:rsidP="00512C52">
      <w:pPr>
        <w:rPr>
          <w:rFonts w:ascii="Times New Roman" w:hAnsi="Times New Roman" w:cs="Times New Roman"/>
        </w:rPr>
      </w:pPr>
    </w:p>
    <w:p w14:paraId="394F53D3" w14:textId="334F94C7" w:rsidR="00512C52" w:rsidRDefault="00512C52" w:rsidP="00512C52">
      <w:pPr>
        <w:rPr>
          <w:rFonts w:ascii="Times New Roman" w:hAnsi="Times New Roman" w:cs="Times New Roman"/>
        </w:rPr>
      </w:pPr>
    </w:p>
    <w:p w14:paraId="0F0B68F1" w14:textId="43C5A670" w:rsidR="00512C52" w:rsidRDefault="00512C52" w:rsidP="00512C52">
      <w:pPr>
        <w:rPr>
          <w:rFonts w:ascii="Times New Roman" w:hAnsi="Times New Roman" w:cs="Times New Roman"/>
        </w:rPr>
      </w:pPr>
    </w:p>
    <w:p w14:paraId="108EFC12" w14:textId="5868E8CC" w:rsidR="00512C52" w:rsidRDefault="00512C52" w:rsidP="00512C52">
      <w:pPr>
        <w:rPr>
          <w:rFonts w:ascii="Times New Roman" w:hAnsi="Times New Roman" w:cs="Times New Roman"/>
        </w:rPr>
      </w:pPr>
    </w:p>
    <w:p w14:paraId="4BB7C508" w14:textId="640EA576" w:rsidR="00512C52" w:rsidRDefault="00512C52" w:rsidP="00512C52">
      <w:pPr>
        <w:rPr>
          <w:rFonts w:ascii="Times New Roman" w:hAnsi="Times New Roman" w:cs="Times New Roman"/>
        </w:rPr>
      </w:pPr>
    </w:p>
    <w:p w14:paraId="20EE8CBD" w14:textId="7A9A0593" w:rsidR="00512C52" w:rsidRDefault="00512C52" w:rsidP="00512C52">
      <w:pPr>
        <w:rPr>
          <w:rFonts w:ascii="Times New Roman" w:hAnsi="Times New Roman" w:cs="Times New Roman"/>
        </w:rPr>
      </w:pPr>
    </w:p>
    <w:p w14:paraId="01D4CD38" w14:textId="5BD197B6" w:rsidR="00512C52" w:rsidRDefault="00512C52" w:rsidP="00512C52">
      <w:pPr>
        <w:rPr>
          <w:rFonts w:ascii="Times New Roman" w:hAnsi="Times New Roman" w:cs="Times New Roman"/>
        </w:rPr>
      </w:pPr>
    </w:p>
    <w:p w14:paraId="12B60E11" w14:textId="6D4670B3" w:rsidR="00512C52" w:rsidRDefault="00512C52" w:rsidP="00512C52">
      <w:pPr>
        <w:rPr>
          <w:rFonts w:ascii="Times New Roman" w:hAnsi="Times New Roman" w:cs="Times New Roman"/>
        </w:rPr>
      </w:pPr>
    </w:p>
    <w:p w14:paraId="425E6AA7" w14:textId="3B2E6A9A" w:rsidR="00512C52" w:rsidRDefault="00512C52" w:rsidP="00512C52">
      <w:pPr>
        <w:rPr>
          <w:rFonts w:ascii="Times New Roman" w:hAnsi="Times New Roman" w:cs="Times New Roman"/>
        </w:rPr>
      </w:pPr>
    </w:p>
    <w:p w14:paraId="7EBC58ED" w14:textId="1AAC8B23" w:rsidR="00512C52" w:rsidRDefault="00512C52" w:rsidP="00512C52">
      <w:pPr>
        <w:rPr>
          <w:rFonts w:ascii="Times New Roman" w:hAnsi="Times New Roman" w:cs="Times New Roman"/>
        </w:rPr>
      </w:pPr>
    </w:p>
    <w:p w14:paraId="68628E1C" w14:textId="27F2C48E" w:rsidR="00512C52" w:rsidRDefault="00512C52" w:rsidP="00512C52">
      <w:pPr>
        <w:rPr>
          <w:rFonts w:ascii="Times New Roman" w:hAnsi="Times New Roman" w:cs="Times New Roman"/>
        </w:rPr>
      </w:pPr>
    </w:p>
    <w:p w14:paraId="276B4325" w14:textId="58FBA7D3" w:rsidR="00512C52" w:rsidRDefault="00512C52" w:rsidP="00512C52">
      <w:pPr>
        <w:rPr>
          <w:rFonts w:ascii="Times New Roman" w:hAnsi="Times New Roman" w:cs="Times New Roman"/>
        </w:rPr>
      </w:pPr>
    </w:p>
    <w:p w14:paraId="49622B22" w14:textId="561D9D41" w:rsidR="00512C52" w:rsidRDefault="00512C52" w:rsidP="00512C52">
      <w:pPr>
        <w:rPr>
          <w:rFonts w:ascii="Times New Roman" w:hAnsi="Times New Roman" w:cs="Times New Roman"/>
        </w:rPr>
      </w:pPr>
    </w:p>
    <w:p w14:paraId="4926A1A7" w14:textId="6A1451BE" w:rsidR="00512C52" w:rsidRDefault="00512C52" w:rsidP="00512C52">
      <w:pPr>
        <w:rPr>
          <w:rFonts w:ascii="Times New Roman" w:hAnsi="Times New Roman" w:cs="Times New Roman"/>
        </w:rPr>
      </w:pPr>
    </w:p>
    <w:p w14:paraId="2890CA34" w14:textId="55AA011C" w:rsidR="00512C52" w:rsidRDefault="00512C52" w:rsidP="00512C52">
      <w:pPr>
        <w:rPr>
          <w:rFonts w:ascii="Times New Roman" w:hAnsi="Times New Roman" w:cs="Times New Roman"/>
        </w:rPr>
      </w:pPr>
    </w:p>
    <w:p w14:paraId="75F96F4D" w14:textId="7D2FDEE5" w:rsidR="00512C52" w:rsidRDefault="00512C52" w:rsidP="00512C52">
      <w:pPr>
        <w:rPr>
          <w:rFonts w:ascii="Times New Roman" w:hAnsi="Times New Roman" w:cs="Times New Roman"/>
        </w:rPr>
      </w:pPr>
    </w:p>
    <w:p w14:paraId="12880F5D" w14:textId="77777777" w:rsidR="00512C52" w:rsidRPr="00512C52" w:rsidRDefault="00512C52" w:rsidP="00512C52">
      <w:pPr>
        <w:rPr>
          <w:rFonts w:ascii="Times New Roman" w:hAnsi="Times New Roman" w:cs="Times New Roman"/>
        </w:rPr>
      </w:pPr>
    </w:p>
    <w:sdt>
      <w:sdtPr>
        <w:rPr>
          <w:rFonts w:ascii="Times New Roman" w:eastAsiaTheme="minorEastAsia" w:hAnsi="Times New Roman" w:cs="Times New Roman"/>
          <w:color w:val="auto"/>
          <w:kern w:val="2"/>
          <w:sz w:val="21"/>
          <w:szCs w:val="22"/>
          <w:lang w:val="zh-CN"/>
        </w:rPr>
        <w:id w:val="-970122198"/>
        <w:docPartObj>
          <w:docPartGallery w:val="Table of Contents"/>
          <w:docPartUnique/>
        </w:docPartObj>
      </w:sdtPr>
      <w:sdtEndPr>
        <w:rPr>
          <w:b/>
          <w:bCs/>
        </w:rPr>
      </w:sdtEndPr>
      <w:sdtContent>
        <w:p w14:paraId="76F32C92" w14:textId="1542F794" w:rsidR="00512C52" w:rsidRPr="00512C52" w:rsidRDefault="00512C52" w:rsidP="00512C52">
          <w:pPr>
            <w:pStyle w:val="TOCHeading"/>
            <w:jc w:val="center"/>
            <w:rPr>
              <w:rFonts w:ascii="Times New Roman" w:hAnsi="Times New Roman" w:cs="Times New Roman"/>
              <w:color w:val="auto"/>
            </w:rPr>
          </w:pPr>
          <w:r w:rsidRPr="00DC6F12">
            <w:rPr>
              <w:rFonts w:ascii="Times New Roman" w:hAnsi="Times New Roman" w:cs="Times New Roman"/>
              <w:color w:val="auto"/>
            </w:rPr>
            <w:t>Contents</w:t>
          </w:r>
        </w:p>
        <w:p w14:paraId="3175C9DC" w14:textId="2B31E485" w:rsidR="00EE7B18" w:rsidRDefault="00512C52">
          <w:pPr>
            <w:pStyle w:val="TOC1"/>
            <w:rPr>
              <w:noProof/>
            </w:rPr>
          </w:pPr>
          <w:r w:rsidRPr="00512C52">
            <w:fldChar w:fldCharType="begin"/>
          </w:r>
          <w:r w:rsidRPr="00512C52">
            <w:instrText xml:space="preserve"> TOC \o "1-3" \h \z \u </w:instrText>
          </w:r>
          <w:r w:rsidRPr="00512C52">
            <w:fldChar w:fldCharType="separate"/>
          </w:r>
          <w:hyperlink w:anchor="_Toc4302676" w:history="1">
            <w:r w:rsidR="00EE7B18" w:rsidRPr="00912468">
              <w:rPr>
                <w:rStyle w:val="Hyperlink"/>
                <w:rFonts w:ascii="Times New Roman" w:hAnsi="Times New Roman" w:cs="Times New Roman"/>
                <w:noProof/>
              </w:rPr>
              <w:t>1.</w:t>
            </w:r>
            <w:r w:rsidR="00EE7B18">
              <w:rPr>
                <w:noProof/>
              </w:rPr>
              <w:tab/>
            </w:r>
            <w:r w:rsidR="00EE7B18" w:rsidRPr="00912468">
              <w:rPr>
                <w:rStyle w:val="Hyperlink"/>
                <w:rFonts w:ascii="Times New Roman" w:hAnsi="Times New Roman" w:cs="Times New Roman"/>
                <w:noProof/>
              </w:rPr>
              <w:t>Introduction</w:t>
            </w:r>
            <w:r w:rsidR="00EE7B18">
              <w:rPr>
                <w:noProof/>
                <w:webHidden/>
              </w:rPr>
              <w:tab/>
            </w:r>
            <w:r w:rsidR="00EE7B18">
              <w:rPr>
                <w:noProof/>
                <w:webHidden/>
              </w:rPr>
              <w:fldChar w:fldCharType="begin"/>
            </w:r>
            <w:r w:rsidR="00EE7B18">
              <w:rPr>
                <w:noProof/>
                <w:webHidden/>
              </w:rPr>
              <w:instrText xml:space="preserve"> PAGEREF _Toc4302676 \h </w:instrText>
            </w:r>
            <w:r w:rsidR="00EE7B18">
              <w:rPr>
                <w:noProof/>
                <w:webHidden/>
              </w:rPr>
            </w:r>
            <w:r w:rsidR="00EE7B18">
              <w:rPr>
                <w:noProof/>
                <w:webHidden/>
              </w:rPr>
              <w:fldChar w:fldCharType="separate"/>
            </w:r>
            <w:r w:rsidR="00EE7B18">
              <w:rPr>
                <w:noProof/>
                <w:webHidden/>
              </w:rPr>
              <w:t>3</w:t>
            </w:r>
            <w:r w:rsidR="00EE7B18">
              <w:rPr>
                <w:noProof/>
                <w:webHidden/>
              </w:rPr>
              <w:fldChar w:fldCharType="end"/>
            </w:r>
          </w:hyperlink>
        </w:p>
        <w:p w14:paraId="0ECDD38B" w14:textId="3443A092" w:rsidR="00EE7B18" w:rsidRDefault="00064BF3">
          <w:pPr>
            <w:pStyle w:val="TOC1"/>
            <w:rPr>
              <w:noProof/>
            </w:rPr>
          </w:pPr>
          <w:hyperlink w:anchor="_Toc4302677" w:history="1">
            <w:r w:rsidR="00EE7B18" w:rsidRPr="00912468">
              <w:rPr>
                <w:rStyle w:val="Hyperlink"/>
                <w:rFonts w:ascii="Times New Roman" w:hAnsi="Times New Roman" w:cs="Times New Roman"/>
                <w:noProof/>
              </w:rPr>
              <w:t>1.</w:t>
            </w:r>
            <w:r w:rsidR="00EE7B18">
              <w:rPr>
                <w:noProof/>
              </w:rPr>
              <w:tab/>
            </w:r>
            <w:r w:rsidR="00EE7B18" w:rsidRPr="00912468">
              <w:rPr>
                <w:rStyle w:val="Hyperlink"/>
                <w:rFonts w:ascii="Times New Roman" w:hAnsi="Times New Roman" w:cs="Times New Roman"/>
                <w:noProof/>
              </w:rPr>
              <w:t>Data description</w:t>
            </w:r>
            <w:r w:rsidR="00EE7B18">
              <w:rPr>
                <w:noProof/>
                <w:webHidden/>
              </w:rPr>
              <w:tab/>
            </w:r>
            <w:r w:rsidR="00EE7B18">
              <w:rPr>
                <w:noProof/>
                <w:webHidden/>
              </w:rPr>
              <w:fldChar w:fldCharType="begin"/>
            </w:r>
            <w:r w:rsidR="00EE7B18">
              <w:rPr>
                <w:noProof/>
                <w:webHidden/>
              </w:rPr>
              <w:instrText xml:space="preserve"> PAGEREF _Toc4302677 \h </w:instrText>
            </w:r>
            <w:r w:rsidR="00EE7B18">
              <w:rPr>
                <w:noProof/>
                <w:webHidden/>
              </w:rPr>
            </w:r>
            <w:r w:rsidR="00EE7B18">
              <w:rPr>
                <w:noProof/>
                <w:webHidden/>
              </w:rPr>
              <w:fldChar w:fldCharType="separate"/>
            </w:r>
            <w:r w:rsidR="00EE7B18">
              <w:rPr>
                <w:noProof/>
                <w:webHidden/>
              </w:rPr>
              <w:t>4</w:t>
            </w:r>
            <w:r w:rsidR="00EE7B18">
              <w:rPr>
                <w:noProof/>
                <w:webHidden/>
              </w:rPr>
              <w:fldChar w:fldCharType="end"/>
            </w:r>
          </w:hyperlink>
        </w:p>
        <w:p w14:paraId="09392E14" w14:textId="267D4D53" w:rsidR="00EE7B18" w:rsidRDefault="00064BF3">
          <w:pPr>
            <w:pStyle w:val="TOC1"/>
            <w:rPr>
              <w:noProof/>
            </w:rPr>
          </w:pPr>
          <w:hyperlink w:anchor="_Toc4302678" w:history="1">
            <w:r w:rsidR="00EE7B18" w:rsidRPr="00912468">
              <w:rPr>
                <w:rStyle w:val="Hyperlink"/>
                <w:rFonts w:ascii="Times New Roman" w:hAnsi="Times New Roman" w:cs="Times New Roman"/>
                <w:noProof/>
              </w:rPr>
              <w:t>2.</w:t>
            </w:r>
            <w:r w:rsidR="00EE7B18">
              <w:rPr>
                <w:noProof/>
              </w:rPr>
              <w:tab/>
            </w:r>
            <w:r w:rsidR="00EE7B18" w:rsidRPr="00912468">
              <w:rPr>
                <w:rStyle w:val="Hyperlink"/>
                <w:rFonts w:ascii="Times New Roman" w:hAnsi="Times New Roman" w:cs="Times New Roman"/>
                <w:noProof/>
              </w:rPr>
              <w:t>Using historical variance to estimate option price</w:t>
            </w:r>
            <w:r w:rsidR="00EE7B18">
              <w:rPr>
                <w:noProof/>
                <w:webHidden/>
              </w:rPr>
              <w:tab/>
            </w:r>
            <w:r w:rsidR="00EE7B18">
              <w:rPr>
                <w:noProof/>
                <w:webHidden/>
              </w:rPr>
              <w:fldChar w:fldCharType="begin"/>
            </w:r>
            <w:r w:rsidR="00EE7B18">
              <w:rPr>
                <w:noProof/>
                <w:webHidden/>
              </w:rPr>
              <w:instrText xml:space="preserve"> PAGEREF _Toc4302678 \h </w:instrText>
            </w:r>
            <w:r w:rsidR="00EE7B18">
              <w:rPr>
                <w:noProof/>
                <w:webHidden/>
              </w:rPr>
            </w:r>
            <w:r w:rsidR="00EE7B18">
              <w:rPr>
                <w:noProof/>
                <w:webHidden/>
              </w:rPr>
              <w:fldChar w:fldCharType="separate"/>
            </w:r>
            <w:r w:rsidR="00EE7B18">
              <w:rPr>
                <w:noProof/>
                <w:webHidden/>
              </w:rPr>
              <w:t>5</w:t>
            </w:r>
            <w:r w:rsidR="00EE7B18">
              <w:rPr>
                <w:noProof/>
                <w:webHidden/>
              </w:rPr>
              <w:fldChar w:fldCharType="end"/>
            </w:r>
          </w:hyperlink>
        </w:p>
        <w:p w14:paraId="71A959AE" w14:textId="4DA16171" w:rsidR="00EE7B18" w:rsidRDefault="00064BF3">
          <w:pPr>
            <w:pStyle w:val="TOC1"/>
            <w:rPr>
              <w:noProof/>
            </w:rPr>
          </w:pPr>
          <w:hyperlink w:anchor="_Toc4302679" w:history="1">
            <w:r w:rsidR="00EE7B18" w:rsidRPr="00912468">
              <w:rPr>
                <w:rStyle w:val="Hyperlink"/>
                <w:rFonts w:ascii="Times New Roman" w:hAnsi="Times New Roman" w:cs="Times New Roman"/>
                <w:noProof/>
              </w:rPr>
              <w:t>3.</w:t>
            </w:r>
            <w:r w:rsidR="00EE7B18">
              <w:rPr>
                <w:noProof/>
              </w:rPr>
              <w:tab/>
            </w:r>
            <w:r w:rsidR="00EE7B18" w:rsidRPr="00912468">
              <w:rPr>
                <w:rStyle w:val="Hyperlink"/>
                <w:rFonts w:ascii="Times New Roman" w:hAnsi="Times New Roman" w:cs="Times New Roman"/>
                <w:noProof/>
              </w:rPr>
              <w:t>Calculate implied volatility based on Black-Scholes-Merton model</w:t>
            </w:r>
            <w:r w:rsidR="00EE7B18">
              <w:rPr>
                <w:noProof/>
                <w:webHidden/>
              </w:rPr>
              <w:tab/>
            </w:r>
            <w:r w:rsidR="00EE7B18">
              <w:rPr>
                <w:noProof/>
                <w:webHidden/>
              </w:rPr>
              <w:fldChar w:fldCharType="begin"/>
            </w:r>
            <w:r w:rsidR="00EE7B18">
              <w:rPr>
                <w:noProof/>
                <w:webHidden/>
              </w:rPr>
              <w:instrText xml:space="preserve"> PAGEREF _Toc4302679 \h </w:instrText>
            </w:r>
            <w:r w:rsidR="00EE7B18">
              <w:rPr>
                <w:noProof/>
                <w:webHidden/>
              </w:rPr>
            </w:r>
            <w:r w:rsidR="00EE7B18">
              <w:rPr>
                <w:noProof/>
                <w:webHidden/>
              </w:rPr>
              <w:fldChar w:fldCharType="separate"/>
            </w:r>
            <w:r w:rsidR="00EE7B18">
              <w:rPr>
                <w:noProof/>
                <w:webHidden/>
              </w:rPr>
              <w:t>8</w:t>
            </w:r>
            <w:r w:rsidR="00EE7B18">
              <w:rPr>
                <w:noProof/>
                <w:webHidden/>
              </w:rPr>
              <w:fldChar w:fldCharType="end"/>
            </w:r>
          </w:hyperlink>
        </w:p>
        <w:p w14:paraId="08E24CB2" w14:textId="035B1A7C" w:rsidR="00EE7B18" w:rsidRDefault="00064BF3">
          <w:pPr>
            <w:pStyle w:val="TOC1"/>
            <w:rPr>
              <w:noProof/>
            </w:rPr>
          </w:pPr>
          <w:hyperlink w:anchor="_Toc4302680" w:history="1">
            <w:r w:rsidR="00EE7B18" w:rsidRPr="00912468">
              <w:rPr>
                <w:rStyle w:val="Hyperlink"/>
                <w:rFonts w:ascii="Times New Roman" w:hAnsi="Times New Roman" w:cs="Times New Roman"/>
                <w:noProof/>
              </w:rPr>
              <w:t>4.</w:t>
            </w:r>
            <w:r w:rsidR="00EE7B18">
              <w:rPr>
                <w:noProof/>
              </w:rPr>
              <w:tab/>
            </w:r>
            <w:r w:rsidR="00EE7B18" w:rsidRPr="00912468">
              <w:rPr>
                <w:rStyle w:val="Hyperlink"/>
                <w:rFonts w:ascii="Times New Roman" w:hAnsi="Times New Roman" w:cs="Times New Roman"/>
                <w:noProof/>
              </w:rPr>
              <w:t>Predict option price using SVM</w:t>
            </w:r>
            <w:r w:rsidR="00EE7B18">
              <w:rPr>
                <w:noProof/>
                <w:webHidden/>
              </w:rPr>
              <w:tab/>
            </w:r>
            <w:r w:rsidR="00EE7B18">
              <w:rPr>
                <w:noProof/>
                <w:webHidden/>
              </w:rPr>
              <w:fldChar w:fldCharType="begin"/>
            </w:r>
            <w:r w:rsidR="00EE7B18">
              <w:rPr>
                <w:noProof/>
                <w:webHidden/>
              </w:rPr>
              <w:instrText xml:space="preserve"> PAGEREF _Toc4302680 \h </w:instrText>
            </w:r>
            <w:r w:rsidR="00EE7B18">
              <w:rPr>
                <w:noProof/>
                <w:webHidden/>
              </w:rPr>
            </w:r>
            <w:r w:rsidR="00EE7B18">
              <w:rPr>
                <w:noProof/>
                <w:webHidden/>
              </w:rPr>
              <w:fldChar w:fldCharType="separate"/>
            </w:r>
            <w:r w:rsidR="00EE7B18">
              <w:rPr>
                <w:noProof/>
                <w:webHidden/>
              </w:rPr>
              <w:t>11</w:t>
            </w:r>
            <w:r w:rsidR="00EE7B18">
              <w:rPr>
                <w:noProof/>
                <w:webHidden/>
              </w:rPr>
              <w:fldChar w:fldCharType="end"/>
            </w:r>
          </w:hyperlink>
        </w:p>
        <w:p w14:paraId="6CA4EC1A" w14:textId="76A9FD3C" w:rsidR="00EE7B18" w:rsidRDefault="00064BF3">
          <w:pPr>
            <w:pStyle w:val="TOC1"/>
            <w:rPr>
              <w:noProof/>
            </w:rPr>
          </w:pPr>
          <w:hyperlink w:anchor="_Toc4302681" w:history="1">
            <w:r w:rsidR="00EE7B18" w:rsidRPr="00912468">
              <w:rPr>
                <w:rStyle w:val="Hyperlink"/>
                <w:rFonts w:ascii="Times New Roman" w:hAnsi="Times New Roman" w:cs="Times New Roman"/>
                <w:noProof/>
              </w:rPr>
              <w:t>5.</w:t>
            </w:r>
            <w:r w:rsidR="00EE7B18">
              <w:rPr>
                <w:noProof/>
              </w:rPr>
              <w:tab/>
            </w:r>
            <w:r w:rsidR="00EE7B18" w:rsidRPr="00912468">
              <w:rPr>
                <w:rStyle w:val="Hyperlink"/>
                <w:rFonts w:ascii="Times New Roman" w:hAnsi="Times New Roman" w:cs="Times New Roman"/>
                <w:noProof/>
              </w:rPr>
              <w:t>Double Exponential Jump Model</w:t>
            </w:r>
            <w:r w:rsidR="00EE7B18">
              <w:rPr>
                <w:noProof/>
                <w:webHidden/>
              </w:rPr>
              <w:tab/>
            </w:r>
            <w:r w:rsidR="00EE7B18">
              <w:rPr>
                <w:noProof/>
                <w:webHidden/>
              </w:rPr>
              <w:fldChar w:fldCharType="begin"/>
            </w:r>
            <w:r w:rsidR="00EE7B18">
              <w:rPr>
                <w:noProof/>
                <w:webHidden/>
              </w:rPr>
              <w:instrText xml:space="preserve"> PAGEREF _Toc4302681 \h </w:instrText>
            </w:r>
            <w:r w:rsidR="00EE7B18">
              <w:rPr>
                <w:noProof/>
                <w:webHidden/>
              </w:rPr>
            </w:r>
            <w:r w:rsidR="00EE7B18">
              <w:rPr>
                <w:noProof/>
                <w:webHidden/>
              </w:rPr>
              <w:fldChar w:fldCharType="separate"/>
            </w:r>
            <w:r w:rsidR="00EE7B18">
              <w:rPr>
                <w:noProof/>
                <w:webHidden/>
              </w:rPr>
              <w:t>12</w:t>
            </w:r>
            <w:r w:rsidR="00EE7B18">
              <w:rPr>
                <w:noProof/>
                <w:webHidden/>
              </w:rPr>
              <w:fldChar w:fldCharType="end"/>
            </w:r>
          </w:hyperlink>
        </w:p>
        <w:p w14:paraId="0E029E6E" w14:textId="052B29E4" w:rsidR="00EE7B18" w:rsidRDefault="00064BF3">
          <w:pPr>
            <w:pStyle w:val="TOC1"/>
            <w:rPr>
              <w:noProof/>
            </w:rPr>
          </w:pPr>
          <w:hyperlink w:anchor="_Toc4302682" w:history="1">
            <w:r w:rsidR="00EE7B18" w:rsidRPr="00912468">
              <w:rPr>
                <w:rStyle w:val="Hyperlink"/>
                <w:rFonts w:ascii="Times New Roman" w:hAnsi="Times New Roman" w:cs="Times New Roman"/>
                <w:noProof/>
              </w:rPr>
              <w:t>6.</w:t>
            </w:r>
            <w:r w:rsidR="00EE7B18">
              <w:rPr>
                <w:noProof/>
              </w:rPr>
              <w:tab/>
            </w:r>
            <w:r w:rsidR="00EE7B18" w:rsidRPr="00912468">
              <w:rPr>
                <w:rStyle w:val="Hyperlink"/>
                <w:rFonts w:ascii="Times New Roman" w:hAnsi="Times New Roman" w:cs="Times New Roman"/>
                <w:noProof/>
              </w:rPr>
              <w:t>Possible Improvements</w:t>
            </w:r>
            <w:r w:rsidR="00EE7B18">
              <w:rPr>
                <w:noProof/>
                <w:webHidden/>
              </w:rPr>
              <w:tab/>
            </w:r>
            <w:r w:rsidR="00EE7B18">
              <w:rPr>
                <w:noProof/>
                <w:webHidden/>
              </w:rPr>
              <w:fldChar w:fldCharType="begin"/>
            </w:r>
            <w:r w:rsidR="00EE7B18">
              <w:rPr>
                <w:noProof/>
                <w:webHidden/>
              </w:rPr>
              <w:instrText xml:space="preserve"> PAGEREF _Toc4302682 \h </w:instrText>
            </w:r>
            <w:r w:rsidR="00EE7B18">
              <w:rPr>
                <w:noProof/>
                <w:webHidden/>
              </w:rPr>
            </w:r>
            <w:r w:rsidR="00EE7B18">
              <w:rPr>
                <w:noProof/>
                <w:webHidden/>
              </w:rPr>
              <w:fldChar w:fldCharType="separate"/>
            </w:r>
            <w:r w:rsidR="00EE7B18">
              <w:rPr>
                <w:noProof/>
                <w:webHidden/>
              </w:rPr>
              <w:t>13</w:t>
            </w:r>
            <w:r w:rsidR="00EE7B18">
              <w:rPr>
                <w:noProof/>
                <w:webHidden/>
              </w:rPr>
              <w:fldChar w:fldCharType="end"/>
            </w:r>
          </w:hyperlink>
        </w:p>
        <w:p w14:paraId="1584948A" w14:textId="4540AA9B" w:rsidR="00EE7B18" w:rsidRDefault="00064BF3">
          <w:pPr>
            <w:pStyle w:val="TOC1"/>
            <w:rPr>
              <w:noProof/>
            </w:rPr>
          </w:pPr>
          <w:hyperlink w:anchor="_Toc4302683" w:history="1">
            <w:r w:rsidR="00EE7B18" w:rsidRPr="00912468">
              <w:rPr>
                <w:rStyle w:val="Hyperlink"/>
                <w:rFonts w:ascii="Times New Roman" w:hAnsi="Times New Roman" w:cs="Times New Roman"/>
                <w:noProof/>
              </w:rPr>
              <w:t>7.</w:t>
            </w:r>
            <w:r w:rsidR="00EE7B18">
              <w:rPr>
                <w:noProof/>
              </w:rPr>
              <w:tab/>
            </w:r>
            <w:r w:rsidR="00EE7B18" w:rsidRPr="00912468">
              <w:rPr>
                <w:rStyle w:val="Hyperlink"/>
                <w:rFonts w:ascii="Times New Roman" w:hAnsi="Times New Roman" w:cs="Times New Roman"/>
                <w:noProof/>
              </w:rPr>
              <w:t>Conclusion</w:t>
            </w:r>
            <w:r w:rsidR="00EE7B18">
              <w:rPr>
                <w:noProof/>
                <w:webHidden/>
              </w:rPr>
              <w:tab/>
            </w:r>
            <w:r w:rsidR="00EE7B18">
              <w:rPr>
                <w:noProof/>
                <w:webHidden/>
              </w:rPr>
              <w:fldChar w:fldCharType="begin"/>
            </w:r>
            <w:r w:rsidR="00EE7B18">
              <w:rPr>
                <w:noProof/>
                <w:webHidden/>
              </w:rPr>
              <w:instrText xml:space="preserve"> PAGEREF _Toc4302683 \h </w:instrText>
            </w:r>
            <w:r w:rsidR="00EE7B18">
              <w:rPr>
                <w:noProof/>
                <w:webHidden/>
              </w:rPr>
            </w:r>
            <w:r w:rsidR="00EE7B18">
              <w:rPr>
                <w:noProof/>
                <w:webHidden/>
              </w:rPr>
              <w:fldChar w:fldCharType="separate"/>
            </w:r>
            <w:r w:rsidR="00EE7B18">
              <w:rPr>
                <w:noProof/>
                <w:webHidden/>
              </w:rPr>
              <w:t>13</w:t>
            </w:r>
            <w:r w:rsidR="00EE7B18">
              <w:rPr>
                <w:noProof/>
                <w:webHidden/>
              </w:rPr>
              <w:fldChar w:fldCharType="end"/>
            </w:r>
          </w:hyperlink>
        </w:p>
        <w:p w14:paraId="1A433CEA" w14:textId="64244595" w:rsidR="00EE7B18" w:rsidRDefault="00064BF3">
          <w:pPr>
            <w:pStyle w:val="TOC1"/>
            <w:rPr>
              <w:noProof/>
            </w:rPr>
          </w:pPr>
          <w:hyperlink w:anchor="_Toc4302684" w:history="1">
            <w:r w:rsidR="00EE7B18" w:rsidRPr="00912468">
              <w:rPr>
                <w:rStyle w:val="Hyperlink"/>
                <w:rFonts w:ascii="Times New Roman" w:hAnsi="Times New Roman" w:cs="Times New Roman"/>
                <w:noProof/>
                <w:shd w:val="clear" w:color="auto" w:fill="FFFFFF"/>
              </w:rPr>
              <w:t>References</w:t>
            </w:r>
            <w:r w:rsidR="00EE7B18">
              <w:rPr>
                <w:noProof/>
                <w:webHidden/>
              </w:rPr>
              <w:tab/>
            </w:r>
            <w:r w:rsidR="00EE7B18">
              <w:rPr>
                <w:noProof/>
                <w:webHidden/>
              </w:rPr>
              <w:fldChar w:fldCharType="begin"/>
            </w:r>
            <w:r w:rsidR="00EE7B18">
              <w:rPr>
                <w:noProof/>
                <w:webHidden/>
              </w:rPr>
              <w:instrText xml:space="preserve"> PAGEREF _Toc4302684 \h </w:instrText>
            </w:r>
            <w:r w:rsidR="00EE7B18">
              <w:rPr>
                <w:noProof/>
                <w:webHidden/>
              </w:rPr>
            </w:r>
            <w:r w:rsidR="00EE7B18">
              <w:rPr>
                <w:noProof/>
                <w:webHidden/>
              </w:rPr>
              <w:fldChar w:fldCharType="separate"/>
            </w:r>
            <w:r w:rsidR="00EE7B18">
              <w:rPr>
                <w:noProof/>
                <w:webHidden/>
              </w:rPr>
              <w:t>15</w:t>
            </w:r>
            <w:r w:rsidR="00EE7B18">
              <w:rPr>
                <w:noProof/>
                <w:webHidden/>
              </w:rPr>
              <w:fldChar w:fldCharType="end"/>
            </w:r>
          </w:hyperlink>
        </w:p>
        <w:p w14:paraId="20849B20" w14:textId="4DC2E59B" w:rsidR="00EE7B18" w:rsidRDefault="00064BF3">
          <w:pPr>
            <w:pStyle w:val="TOC1"/>
            <w:rPr>
              <w:noProof/>
            </w:rPr>
          </w:pPr>
          <w:hyperlink w:anchor="_Toc4302685" w:history="1">
            <w:r w:rsidR="00EE7B18" w:rsidRPr="00912468">
              <w:rPr>
                <w:rStyle w:val="Hyperlink"/>
                <w:rFonts w:ascii="Times New Roman" w:hAnsi="Times New Roman" w:cs="Times New Roman"/>
                <w:noProof/>
              </w:rPr>
              <w:t>Appendices</w:t>
            </w:r>
            <w:r w:rsidR="00EE7B18">
              <w:rPr>
                <w:noProof/>
                <w:webHidden/>
              </w:rPr>
              <w:tab/>
            </w:r>
            <w:r w:rsidR="00EE7B18">
              <w:rPr>
                <w:noProof/>
                <w:webHidden/>
              </w:rPr>
              <w:fldChar w:fldCharType="begin"/>
            </w:r>
            <w:r w:rsidR="00EE7B18">
              <w:rPr>
                <w:noProof/>
                <w:webHidden/>
              </w:rPr>
              <w:instrText xml:space="preserve"> PAGEREF _Toc4302685 \h </w:instrText>
            </w:r>
            <w:r w:rsidR="00EE7B18">
              <w:rPr>
                <w:noProof/>
                <w:webHidden/>
              </w:rPr>
            </w:r>
            <w:r w:rsidR="00EE7B18">
              <w:rPr>
                <w:noProof/>
                <w:webHidden/>
              </w:rPr>
              <w:fldChar w:fldCharType="separate"/>
            </w:r>
            <w:r w:rsidR="00EE7B18">
              <w:rPr>
                <w:noProof/>
                <w:webHidden/>
              </w:rPr>
              <w:t>16</w:t>
            </w:r>
            <w:r w:rsidR="00EE7B18">
              <w:rPr>
                <w:noProof/>
                <w:webHidden/>
              </w:rPr>
              <w:fldChar w:fldCharType="end"/>
            </w:r>
          </w:hyperlink>
        </w:p>
        <w:p w14:paraId="6A01DB4A" w14:textId="2DD72366" w:rsidR="00512C52" w:rsidRPr="00512C52" w:rsidRDefault="00512C52">
          <w:pPr>
            <w:rPr>
              <w:rFonts w:ascii="Times New Roman" w:hAnsi="Times New Roman" w:cs="Times New Roman"/>
            </w:rPr>
          </w:pPr>
          <w:r w:rsidRPr="00512C52">
            <w:rPr>
              <w:rFonts w:ascii="Times New Roman" w:hAnsi="Times New Roman" w:cs="Times New Roman"/>
              <w:b/>
              <w:bCs/>
              <w:lang w:val="zh-CN"/>
            </w:rPr>
            <w:fldChar w:fldCharType="end"/>
          </w:r>
        </w:p>
      </w:sdtContent>
    </w:sdt>
    <w:p w14:paraId="0DF5CE0B" w14:textId="5DD3E03C" w:rsidR="00512C52" w:rsidRPr="00512C52" w:rsidRDefault="00512C52" w:rsidP="001E4355">
      <w:pPr>
        <w:ind w:left="720" w:hanging="720"/>
        <w:rPr>
          <w:rFonts w:ascii="Times New Roman" w:hAnsi="Times New Roman" w:cs="Times New Roman"/>
        </w:rPr>
      </w:pPr>
    </w:p>
    <w:p w14:paraId="244E4174" w14:textId="6931C8F1" w:rsidR="00512C52" w:rsidRPr="00512C52" w:rsidRDefault="00512C52" w:rsidP="001E4355">
      <w:pPr>
        <w:ind w:left="720" w:hanging="720"/>
        <w:rPr>
          <w:rFonts w:ascii="Times New Roman" w:hAnsi="Times New Roman" w:cs="Times New Roman"/>
        </w:rPr>
      </w:pPr>
    </w:p>
    <w:p w14:paraId="35F6C288" w14:textId="2ABF67A7" w:rsidR="00512C52" w:rsidRPr="00512C52" w:rsidRDefault="00512C52" w:rsidP="001E4355">
      <w:pPr>
        <w:ind w:left="720" w:hanging="720"/>
        <w:rPr>
          <w:rFonts w:ascii="Times New Roman" w:hAnsi="Times New Roman" w:cs="Times New Roman"/>
        </w:rPr>
      </w:pPr>
    </w:p>
    <w:p w14:paraId="0BF83B67" w14:textId="1C12E98C" w:rsidR="00512C52" w:rsidRPr="00512C52" w:rsidRDefault="00512C52" w:rsidP="001E4355">
      <w:pPr>
        <w:ind w:left="720" w:hanging="720"/>
        <w:rPr>
          <w:rFonts w:ascii="Times New Roman" w:hAnsi="Times New Roman" w:cs="Times New Roman"/>
        </w:rPr>
      </w:pPr>
    </w:p>
    <w:p w14:paraId="1C966180" w14:textId="7D714299" w:rsidR="00512C52" w:rsidRPr="00512C52" w:rsidRDefault="00512C52" w:rsidP="001E4355">
      <w:pPr>
        <w:ind w:left="720" w:hanging="720"/>
        <w:rPr>
          <w:rFonts w:ascii="Times New Roman" w:hAnsi="Times New Roman" w:cs="Times New Roman"/>
        </w:rPr>
      </w:pPr>
    </w:p>
    <w:p w14:paraId="7D14F2A5" w14:textId="719217CC" w:rsidR="00512C52" w:rsidRPr="00512C52" w:rsidRDefault="00512C52" w:rsidP="001E4355">
      <w:pPr>
        <w:ind w:left="720" w:hanging="720"/>
        <w:rPr>
          <w:rFonts w:ascii="Times New Roman" w:hAnsi="Times New Roman" w:cs="Times New Roman"/>
        </w:rPr>
      </w:pPr>
    </w:p>
    <w:p w14:paraId="0CA7CF32" w14:textId="603BD68A" w:rsidR="00512C52" w:rsidRPr="00512C52" w:rsidRDefault="00512C52" w:rsidP="001E4355">
      <w:pPr>
        <w:ind w:left="720" w:hanging="720"/>
        <w:rPr>
          <w:rFonts w:ascii="Times New Roman" w:hAnsi="Times New Roman" w:cs="Times New Roman"/>
        </w:rPr>
      </w:pPr>
    </w:p>
    <w:p w14:paraId="72A25AE0" w14:textId="4CE2FBF1" w:rsidR="00512C52" w:rsidRDefault="00512C52" w:rsidP="001E4355">
      <w:pPr>
        <w:ind w:left="720" w:hanging="720"/>
        <w:rPr>
          <w:rFonts w:ascii="Times New Roman" w:hAnsi="Times New Roman" w:cs="Times New Roman"/>
        </w:rPr>
      </w:pPr>
    </w:p>
    <w:p w14:paraId="3AE8335A" w14:textId="7906E5A0" w:rsidR="00512C52" w:rsidRDefault="00512C52" w:rsidP="001E4355">
      <w:pPr>
        <w:ind w:left="720" w:hanging="720"/>
        <w:rPr>
          <w:rFonts w:ascii="Times New Roman" w:hAnsi="Times New Roman" w:cs="Times New Roman"/>
        </w:rPr>
      </w:pPr>
    </w:p>
    <w:p w14:paraId="18A4147A" w14:textId="69B24EC8" w:rsidR="00512C52" w:rsidRDefault="00512C52" w:rsidP="001E4355">
      <w:pPr>
        <w:ind w:left="720" w:hanging="720"/>
        <w:rPr>
          <w:rFonts w:ascii="Times New Roman" w:hAnsi="Times New Roman" w:cs="Times New Roman"/>
        </w:rPr>
      </w:pPr>
    </w:p>
    <w:p w14:paraId="78852CEA" w14:textId="2818FA2E" w:rsidR="00512C52" w:rsidRDefault="00512C52" w:rsidP="001E4355">
      <w:pPr>
        <w:ind w:left="720" w:hanging="720"/>
        <w:rPr>
          <w:rFonts w:ascii="Times New Roman" w:hAnsi="Times New Roman" w:cs="Times New Roman"/>
        </w:rPr>
      </w:pPr>
    </w:p>
    <w:p w14:paraId="61428336" w14:textId="4FB099EA" w:rsidR="00512C52" w:rsidRDefault="00512C52" w:rsidP="001E4355">
      <w:pPr>
        <w:ind w:left="720" w:hanging="720"/>
        <w:rPr>
          <w:rFonts w:ascii="Times New Roman" w:hAnsi="Times New Roman" w:cs="Times New Roman"/>
        </w:rPr>
      </w:pPr>
    </w:p>
    <w:p w14:paraId="450D840B" w14:textId="328F7243" w:rsidR="00512C52" w:rsidRDefault="00512C52" w:rsidP="001E4355">
      <w:pPr>
        <w:ind w:left="720" w:hanging="720"/>
        <w:rPr>
          <w:rFonts w:ascii="Times New Roman" w:hAnsi="Times New Roman" w:cs="Times New Roman"/>
        </w:rPr>
      </w:pPr>
    </w:p>
    <w:p w14:paraId="441F4D21" w14:textId="7FDECE31" w:rsidR="00512C52" w:rsidRDefault="00512C52" w:rsidP="001E4355">
      <w:pPr>
        <w:ind w:left="720" w:hanging="720"/>
        <w:rPr>
          <w:rFonts w:ascii="Times New Roman" w:hAnsi="Times New Roman" w:cs="Times New Roman"/>
        </w:rPr>
      </w:pPr>
    </w:p>
    <w:p w14:paraId="21991A86" w14:textId="099B4FBD" w:rsidR="00512C52" w:rsidRDefault="00512C52" w:rsidP="001E4355">
      <w:pPr>
        <w:ind w:left="720" w:hanging="720"/>
        <w:rPr>
          <w:rFonts w:ascii="Times New Roman" w:hAnsi="Times New Roman" w:cs="Times New Roman"/>
        </w:rPr>
      </w:pPr>
    </w:p>
    <w:p w14:paraId="264EBCF6" w14:textId="35B3DECB" w:rsidR="00512C52" w:rsidRDefault="00512C52" w:rsidP="001E4355">
      <w:pPr>
        <w:ind w:left="720" w:hanging="720"/>
        <w:rPr>
          <w:rFonts w:ascii="Times New Roman" w:hAnsi="Times New Roman" w:cs="Times New Roman"/>
        </w:rPr>
      </w:pPr>
    </w:p>
    <w:p w14:paraId="5076D8C7" w14:textId="7A672B9F" w:rsidR="00512C52" w:rsidRDefault="00512C52" w:rsidP="001E4355">
      <w:pPr>
        <w:ind w:left="720" w:hanging="720"/>
        <w:rPr>
          <w:rFonts w:ascii="Times New Roman" w:hAnsi="Times New Roman" w:cs="Times New Roman"/>
        </w:rPr>
      </w:pPr>
    </w:p>
    <w:p w14:paraId="63017117" w14:textId="495C62C9" w:rsidR="00512C52" w:rsidRDefault="00512C52" w:rsidP="001E4355">
      <w:pPr>
        <w:ind w:left="720" w:hanging="720"/>
        <w:rPr>
          <w:rFonts w:ascii="Times New Roman" w:hAnsi="Times New Roman" w:cs="Times New Roman"/>
        </w:rPr>
      </w:pPr>
    </w:p>
    <w:p w14:paraId="78469447" w14:textId="46B37123" w:rsidR="00512C52" w:rsidRDefault="00512C52" w:rsidP="001E4355">
      <w:pPr>
        <w:ind w:left="720" w:hanging="720"/>
        <w:rPr>
          <w:rFonts w:ascii="Times New Roman" w:hAnsi="Times New Roman" w:cs="Times New Roman"/>
        </w:rPr>
      </w:pPr>
    </w:p>
    <w:p w14:paraId="0CBF1E36" w14:textId="77777777" w:rsidR="00512C52" w:rsidRPr="00512C52" w:rsidRDefault="00512C52" w:rsidP="001E4355">
      <w:pPr>
        <w:ind w:left="720" w:hanging="720"/>
        <w:rPr>
          <w:rFonts w:ascii="Times New Roman" w:hAnsi="Times New Roman" w:cs="Times New Roman"/>
        </w:rPr>
      </w:pPr>
    </w:p>
    <w:p w14:paraId="3C27BFD3" w14:textId="77777777" w:rsidR="00512C52" w:rsidRPr="00512C52" w:rsidRDefault="00512C52" w:rsidP="001E4355">
      <w:pPr>
        <w:ind w:left="720" w:hanging="720"/>
        <w:rPr>
          <w:rFonts w:ascii="Times New Roman" w:hAnsi="Times New Roman" w:cs="Times New Roman"/>
        </w:rPr>
      </w:pPr>
    </w:p>
    <w:p w14:paraId="378CBFB7" w14:textId="17716E36" w:rsidR="00602D6B" w:rsidRPr="00512C52" w:rsidRDefault="00EB35EE" w:rsidP="001E4355">
      <w:pPr>
        <w:pStyle w:val="Heading1"/>
        <w:numPr>
          <w:ilvl w:val="0"/>
          <w:numId w:val="2"/>
        </w:numPr>
        <w:rPr>
          <w:rFonts w:ascii="Times New Roman" w:hAnsi="Times New Roman" w:cs="Times New Roman"/>
        </w:rPr>
      </w:pPr>
      <w:bookmarkStart w:id="1" w:name="_Toc4302676"/>
      <w:r w:rsidRPr="00512C52">
        <w:rPr>
          <w:rFonts w:ascii="Times New Roman" w:hAnsi="Times New Roman" w:cs="Times New Roman"/>
        </w:rPr>
        <w:lastRenderedPageBreak/>
        <w:t>Introduction</w:t>
      </w:r>
      <w:bookmarkEnd w:id="1"/>
    </w:p>
    <w:p w14:paraId="13DA5E96" w14:textId="67737F13" w:rsidR="00964757" w:rsidRPr="00512C52" w:rsidRDefault="00EB35EE"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Black-Scholes-Merton</w:t>
      </w:r>
      <w:r w:rsidR="00CA6B80" w:rsidRPr="00512C52">
        <w:rPr>
          <w:rFonts w:ascii="Times New Roman" w:hAnsi="Times New Roman" w:cs="Times New Roman"/>
          <w:sz w:val="24"/>
          <w:szCs w:val="24"/>
        </w:rPr>
        <w:t xml:space="preserve"> (BSM)</w:t>
      </w:r>
      <w:r w:rsidRPr="00512C52">
        <w:rPr>
          <w:rFonts w:ascii="Times New Roman" w:hAnsi="Times New Roman" w:cs="Times New Roman"/>
          <w:sz w:val="24"/>
          <w:szCs w:val="24"/>
        </w:rPr>
        <w:t xml:space="preserve"> model is popular in the pricing of options and other financial derivative instruments. </w:t>
      </w:r>
      <w:r w:rsidR="00964757" w:rsidRPr="00512C52">
        <w:rPr>
          <w:rFonts w:ascii="Times New Roman" w:hAnsi="Times New Roman" w:cs="Times New Roman"/>
          <w:sz w:val="24"/>
          <w:szCs w:val="24"/>
        </w:rPr>
        <w:t xml:space="preserve">Given stock price, maturity, volatility, interest rate and dividend, the model </w:t>
      </w:r>
      <w:r w:rsidR="001B7738" w:rsidRPr="00512C52">
        <w:rPr>
          <w:rFonts w:ascii="Times New Roman" w:hAnsi="Times New Roman" w:cs="Times New Roman"/>
          <w:sz w:val="24"/>
          <w:szCs w:val="24"/>
        </w:rPr>
        <w:t xml:space="preserve">can be used </w:t>
      </w:r>
      <w:r w:rsidR="00964757" w:rsidRPr="00512C52">
        <w:rPr>
          <w:rFonts w:ascii="Times New Roman" w:hAnsi="Times New Roman" w:cs="Times New Roman"/>
          <w:sz w:val="24"/>
          <w:szCs w:val="24"/>
        </w:rPr>
        <w:t>to calculate the price of a</w:t>
      </w:r>
      <w:r w:rsidR="001B7738" w:rsidRPr="00512C52">
        <w:rPr>
          <w:rFonts w:ascii="Times New Roman" w:hAnsi="Times New Roman" w:cs="Times New Roman"/>
          <w:sz w:val="24"/>
          <w:szCs w:val="24"/>
        </w:rPr>
        <w:t xml:space="preserve">n </w:t>
      </w:r>
      <w:r w:rsidR="00964757" w:rsidRPr="00512C52">
        <w:rPr>
          <w:rFonts w:ascii="Times New Roman" w:hAnsi="Times New Roman" w:cs="Times New Roman"/>
          <w:sz w:val="24"/>
          <w:szCs w:val="24"/>
        </w:rPr>
        <w:t xml:space="preserve">option. </w:t>
      </w:r>
      <w:r w:rsidR="001B7738" w:rsidRPr="00512C52">
        <w:rPr>
          <w:rFonts w:ascii="Times New Roman" w:hAnsi="Times New Roman" w:cs="Times New Roman"/>
          <w:sz w:val="24"/>
          <w:szCs w:val="24"/>
        </w:rPr>
        <w:t>And given the market price of options, we can use it to</w:t>
      </w:r>
      <w:r w:rsidR="00964757" w:rsidRPr="00512C52">
        <w:rPr>
          <w:rFonts w:ascii="Times New Roman" w:hAnsi="Times New Roman" w:cs="Times New Roman"/>
          <w:sz w:val="24"/>
          <w:szCs w:val="24"/>
        </w:rPr>
        <w:t xml:space="preserve"> estimate market volatility without considering specific investor characteristics such as risk tolerance. It is also very useful in hedging </w:t>
      </w:r>
      <w:r w:rsidR="001B7738" w:rsidRPr="00512C52">
        <w:rPr>
          <w:rFonts w:ascii="Times New Roman" w:hAnsi="Times New Roman" w:cs="Times New Roman"/>
          <w:sz w:val="24"/>
          <w:szCs w:val="24"/>
        </w:rPr>
        <w:t>the risks of financial assets</w:t>
      </w:r>
      <w:r w:rsidR="00964757" w:rsidRPr="00512C52">
        <w:rPr>
          <w:rFonts w:ascii="Times New Roman" w:hAnsi="Times New Roman" w:cs="Times New Roman"/>
          <w:sz w:val="24"/>
          <w:szCs w:val="24"/>
        </w:rPr>
        <w:t xml:space="preserve">. However, </w:t>
      </w:r>
      <w:r w:rsidR="001B7738" w:rsidRPr="00512C52">
        <w:rPr>
          <w:rFonts w:ascii="Times New Roman" w:hAnsi="Times New Roman" w:cs="Times New Roman"/>
          <w:sz w:val="24"/>
          <w:szCs w:val="24"/>
        </w:rPr>
        <w:t xml:space="preserve">there are some limitations of the BSM model. In the original BSM model, there is an assumption that the volatility, dividend and risk-free rate are constant. But in reality, these </w:t>
      </w:r>
      <w:r w:rsidR="00964757" w:rsidRPr="00512C52">
        <w:rPr>
          <w:rFonts w:ascii="Times New Roman" w:hAnsi="Times New Roman" w:cs="Times New Roman"/>
          <w:sz w:val="24"/>
          <w:szCs w:val="24"/>
        </w:rPr>
        <w:t>term</w:t>
      </w:r>
      <w:r w:rsidR="001B7738" w:rsidRPr="00512C52">
        <w:rPr>
          <w:rFonts w:ascii="Times New Roman" w:hAnsi="Times New Roman" w:cs="Times New Roman"/>
          <w:sz w:val="24"/>
          <w:szCs w:val="24"/>
        </w:rPr>
        <w:t>s</w:t>
      </w:r>
      <w:r w:rsidR="00964757" w:rsidRPr="00512C52">
        <w:rPr>
          <w:rFonts w:ascii="Times New Roman" w:hAnsi="Times New Roman" w:cs="Times New Roman"/>
          <w:sz w:val="24"/>
          <w:szCs w:val="24"/>
        </w:rPr>
        <w:t xml:space="preserve"> in the model </w:t>
      </w:r>
      <w:r w:rsidR="001B7738" w:rsidRPr="00512C52">
        <w:rPr>
          <w:rFonts w:ascii="Times New Roman" w:hAnsi="Times New Roman" w:cs="Times New Roman"/>
          <w:sz w:val="24"/>
          <w:szCs w:val="24"/>
        </w:rPr>
        <w:t>are</w:t>
      </w:r>
      <w:r w:rsidR="00964757" w:rsidRPr="00512C52">
        <w:rPr>
          <w:rFonts w:ascii="Times New Roman" w:hAnsi="Times New Roman" w:cs="Times New Roman"/>
          <w:sz w:val="24"/>
          <w:szCs w:val="24"/>
        </w:rPr>
        <w:t xml:space="preserve"> hard to predict</w:t>
      </w:r>
      <w:r w:rsidR="001B7738" w:rsidRPr="00512C52">
        <w:rPr>
          <w:rFonts w:ascii="Times New Roman" w:hAnsi="Times New Roman" w:cs="Times New Roman"/>
          <w:sz w:val="24"/>
          <w:szCs w:val="24"/>
        </w:rPr>
        <w:t xml:space="preserve"> and may not be constants</w:t>
      </w:r>
      <w:r w:rsidR="00964757" w:rsidRPr="00512C52">
        <w:rPr>
          <w:rFonts w:ascii="Times New Roman" w:hAnsi="Times New Roman" w:cs="Times New Roman"/>
          <w:sz w:val="24"/>
          <w:szCs w:val="24"/>
        </w:rPr>
        <w:t xml:space="preserve">. </w:t>
      </w:r>
      <w:r w:rsidR="001B7738" w:rsidRPr="00512C52">
        <w:rPr>
          <w:rFonts w:ascii="Times New Roman" w:hAnsi="Times New Roman" w:cs="Times New Roman"/>
          <w:sz w:val="24"/>
          <w:szCs w:val="24"/>
        </w:rPr>
        <w:t>Moreover, the stock price return is assumed to follow lognormal distribution. But in the real market, the distribution is usually left-skewed (because of transaction cost)</w:t>
      </w:r>
      <w:r w:rsidR="007C4C2F">
        <w:rPr>
          <w:rFonts w:ascii="Times New Roman" w:hAnsi="Times New Roman" w:cs="Times New Roman"/>
          <w:sz w:val="24"/>
          <w:szCs w:val="24"/>
        </w:rPr>
        <w:t xml:space="preserve"> (</w:t>
      </w:r>
      <w:proofErr w:type="spellStart"/>
      <w:r w:rsidR="007C4C2F" w:rsidRPr="00512C52">
        <w:rPr>
          <w:rFonts w:ascii="Times New Roman" w:hAnsi="Times New Roman" w:cs="Times New Roman"/>
          <w:color w:val="222222"/>
          <w:sz w:val="22"/>
          <w:szCs w:val="20"/>
          <w:shd w:val="clear" w:color="auto" w:fill="FFFFFF"/>
        </w:rPr>
        <w:t>Teneng</w:t>
      </w:r>
      <w:proofErr w:type="spellEnd"/>
      <w:r w:rsidR="007C4C2F" w:rsidRPr="00512C52">
        <w:rPr>
          <w:rFonts w:ascii="Times New Roman" w:hAnsi="Times New Roman" w:cs="Times New Roman"/>
          <w:color w:val="222222"/>
          <w:sz w:val="22"/>
          <w:szCs w:val="20"/>
          <w:shd w:val="clear" w:color="auto" w:fill="FFFFFF"/>
        </w:rPr>
        <w:t>, D.</w:t>
      </w:r>
      <w:r w:rsidR="007C4C2F">
        <w:rPr>
          <w:rFonts w:ascii="Times New Roman" w:hAnsi="Times New Roman" w:cs="Times New Roman"/>
          <w:color w:val="222222"/>
          <w:sz w:val="22"/>
          <w:szCs w:val="20"/>
          <w:shd w:val="clear" w:color="auto" w:fill="FFFFFF"/>
        </w:rPr>
        <w:t xml:space="preserve">, </w:t>
      </w:r>
      <w:r w:rsidR="007C4C2F" w:rsidRPr="00512C52">
        <w:rPr>
          <w:rFonts w:ascii="Times New Roman" w:hAnsi="Times New Roman" w:cs="Times New Roman"/>
          <w:color w:val="222222"/>
          <w:sz w:val="22"/>
          <w:szCs w:val="20"/>
          <w:shd w:val="clear" w:color="auto" w:fill="FFFFFF"/>
        </w:rPr>
        <w:t>2011)</w:t>
      </w:r>
      <w:r w:rsidR="001B7738" w:rsidRPr="00512C52">
        <w:rPr>
          <w:rFonts w:ascii="Times New Roman" w:hAnsi="Times New Roman" w:cs="Times New Roman"/>
          <w:sz w:val="24"/>
          <w:szCs w:val="24"/>
        </w:rPr>
        <w:t>. Hence, jump model is implemented to improve the BSM model.</w:t>
      </w:r>
    </w:p>
    <w:p w14:paraId="30153273" w14:textId="1211A63B" w:rsidR="001B7738" w:rsidRPr="00512C52" w:rsidRDefault="001B7738"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Jump model is first introduced in 1976 by Robert Merton. It considered the </w:t>
      </w:r>
      <w:r w:rsidR="0075122B" w:rsidRPr="00512C52">
        <w:rPr>
          <w:rFonts w:ascii="Times New Roman" w:hAnsi="Times New Roman" w:cs="Times New Roman"/>
          <w:sz w:val="24"/>
          <w:szCs w:val="24"/>
        </w:rPr>
        <w:t>“crash” scenarios in the market. One of the reasons of “jumps” is that people may overreact to news. It may better describe the price movement of stocks.</w:t>
      </w:r>
    </w:p>
    <w:p w14:paraId="5D05883E" w14:textId="77777777" w:rsidR="0075122B" w:rsidRPr="00512C52" w:rsidRDefault="00964757"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There are three parts in the research. In the first part, </w:t>
      </w:r>
      <w:r w:rsidR="0075122B" w:rsidRPr="00512C52">
        <w:rPr>
          <w:rFonts w:ascii="Times New Roman" w:hAnsi="Times New Roman" w:cs="Times New Roman"/>
          <w:sz w:val="24"/>
          <w:szCs w:val="24"/>
        </w:rPr>
        <w:t>we investigated the historical volatility in the BSM model. H</w:t>
      </w:r>
      <w:r w:rsidRPr="00512C52">
        <w:rPr>
          <w:rFonts w:ascii="Times New Roman" w:hAnsi="Times New Roman" w:cs="Times New Roman"/>
          <w:sz w:val="24"/>
          <w:szCs w:val="24"/>
        </w:rPr>
        <w:t xml:space="preserve">istorical volatility is calculated based on stock historical price movements. </w:t>
      </w:r>
      <w:r w:rsidR="0075122B" w:rsidRPr="00512C52">
        <w:rPr>
          <w:rFonts w:ascii="Times New Roman" w:hAnsi="Times New Roman" w:cs="Times New Roman"/>
          <w:sz w:val="24"/>
          <w:szCs w:val="24"/>
        </w:rPr>
        <w:t>This volatility is</w:t>
      </w:r>
      <w:r w:rsidRPr="00512C52">
        <w:rPr>
          <w:rFonts w:ascii="Times New Roman" w:hAnsi="Times New Roman" w:cs="Times New Roman"/>
          <w:sz w:val="24"/>
          <w:szCs w:val="24"/>
        </w:rPr>
        <w:t xml:space="preserve"> used in the </w:t>
      </w:r>
      <w:r w:rsidR="0075122B" w:rsidRPr="00512C52">
        <w:rPr>
          <w:rFonts w:ascii="Times New Roman" w:hAnsi="Times New Roman" w:cs="Times New Roman"/>
          <w:sz w:val="24"/>
          <w:szCs w:val="24"/>
        </w:rPr>
        <w:t>BSM</w:t>
      </w:r>
      <w:r w:rsidRPr="00512C52">
        <w:rPr>
          <w:rFonts w:ascii="Times New Roman" w:hAnsi="Times New Roman" w:cs="Times New Roman"/>
          <w:sz w:val="24"/>
          <w:szCs w:val="24"/>
        </w:rPr>
        <w:t xml:space="preserve"> model to calculate the option price. </w:t>
      </w:r>
      <w:r w:rsidR="00C2198E" w:rsidRPr="00512C52">
        <w:rPr>
          <w:rFonts w:ascii="Times New Roman" w:hAnsi="Times New Roman" w:cs="Times New Roman"/>
          <w:sz w:val="24"/>
          <w:szCs w:val="24"/>
        </w:rPr>
        <w:t>T</w:t>
      </w:r>
      <w:r w:rsidRPr="00512C52">
        <w:rPr>
          <w:rFonts w:ascii="Times New Roman" w:hAnsi="Times New Roman" w:cs="Times New Roman"/>
          <w:sz w:val="24"/>
          <w:szCs w:val="24"/>
        </w:rPr>
        <w:t>he calculated option price</w:t>
      </w:r>
      <w:r w:rsidR="00C2198E" w:rsidRPr="00512C52">
        <w:rPr>
          <w:rFonts w:ascii="Times New Roman" w:hAnsi="Times New Roman" w:cs="Times New Roman"/>
          <w:sz w:val="24"/>
          <w:szCs w:val="24"/>
        </w:rPr>
        <w:t>s are compared</w:t>
      </w:r>
      <w:r w:rsidRPr="00512C52">
        <w:rPr>
          <w:rFonts w:ascii="Times New Roman" w:hAnsi="Times New Roman" w:cs="Times New Roman"/>
          <w:sz w:val="24"/>
          <w:szCs w:val="24"/>
        </w:rPr>
        <w:t xml:space="preserve"> with the </w:t>
      </w:r>
      <w:r w:rsidR="00C2198E" w:rsidRPr="00512C52">
        <w:rPr>
          <w:rFonts w:ascii="Times New Roman" w:hAnsi="Times New Roman" w:cs="Times New Roman"/>
          <w:sz w:val="24"/>
          <w:szCs w:val="24"/>
        </w:rPr>
        <w:t xml:space="preserve">real option prices to see the difference. </w:t>
      </w:r>
    </w:p>
    <w:p w14:paraId="7ABD6BF4" w14:textId="77777777" w:rsidR="0075122B" w:rsidRPr="00512C52" w:rsidRDefault="00C2198E"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In the second part, </w:t>
      </w:r>
      <w:r w:rsidR="00CA6B80" w:rsidRPr="00512C52">
        <w:rPr>
          <w:rFonts w:ascii="Times New Roman" w:hAnsi="Times New Roman" w:cs="Times New Roman"/>
          <w:sz w:val="24"/>
          <w:szCs w:val="24"/>
        </w:rPr>
        <w:t xml:space="preserve">based on known </w:t>
      </w:r>
      <w:r w:rsidRPr="00512C52">
        <w:rPr>
          <w:rFonts w:ascii="Times New Roman" w:hAnsi="Times New Roman" w:cs="Times New Roman"/>
          <w:sz w:val="24"/>
          <w:szCs w:val="24"/>
        </w:rPr>
        <w:t>market option price</w:t>
      </w:r>
      <w:r w:rsidR="00CA6B80" w:rsidRPr="00512C52">
        <w:rPr>
          <w:rFonts w:ascii="Times New Roman" w:hAnsi="Times New Roman" w:cs="Times New Roman"/>
          <w:sz w:val="24"/>
          <w:szCs w:val="24"/>
        </w:rPr>
        <w:t>s, we calculated the implied volatility through the inverse function of the BSM model</w:t>
      </w:r>
      <w:r w:rsidR="0075122B" w:rsidRPr="00512C52">
        <w:rPr>
          <w:rFonts w:ascii="Times New Roman" w:hAnsi="Times New Roman" w:cs="Times New Roman"/>
          <w:sz w:val="24"/>
          <w:szCs w:val="24"/>
        </w:rPr>
        <w:t xml:space="preserve"> equation</w:t>
      </w:r>
      <w:r w:rsidR="00CA6B80" w:rsidRPr="00512C52">
        <w:rPr>
          <w:rFonts w:ascii="Times New Roman" w:hAnsi="Times New Roman" w:cs="Times New Roman"/>
          <w:sz w:val="24"/>
          <w:szCs w:val="24"/>
        </w:rPr>
        <w:t>. And we used the 5-minute stock data to predict the next 1-minute stock price using the interpolated volatilities through SVM</w:t>
      </w:r>
      <w:r w:rsidR="003B5DC2" w:rsidRPr="00512C52">
        <w:rPr>
          <w:rFonts w:ascii="Times New Roman" w:hAnsi="Times New Roman" w:cs="Times New Roman"/>
          <w:sz w:val="24"/>
          <w:szCs w:val="24"/>
        </w:rPr>
        <w:t xml:space="preserve"> method</w:t>
      </w:r>
      <w:r w:rsidR="00CA6B80" w:rsidRPr="00512C52">
        <w:rPr>
          <w:rFonts w:ascii="Times New Roman" w:hAnsi="Times New Roman" w:cs="Times New Roman"/>
          <w:sz w:val="24"/>
          <w:szCs w:val="24"/>
        </w:rPr>
        <w:t xml:space="preserve">. </w:t>
      </w:r>
    </w:p>
    <w:p w14:paraId="1FE5BE3E" w14:textId="052515AE" w:rsidR="00964757" w:rsidRPr="00512C52" w:rsidRDefault="00CA6B80"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In the third part, to overcome the disadvantages of BSM model, jump model is used to calculate the option price. And the predicted option prices are compared with real price </w:t>
      </w:r>
      <w:r w:rsidRPr="00512C52">
        <w:rPr>
          <w:rFonts w:ascii="Times New Roman" w:hAnsi="Times New Roman" w:cs="Times New Roman"/>
          <w:sz w:val="24"/>
          <w:szCs w:val="24"/>
        </w:rPr>
        <w:lastRenderedPageBreak/>
        <w:t>to test the predictability of the model.</w:t>
      </w:r>
    </w:p>
    <w:p w14:paraId="21B6968B" w14:textId="74BA1614" w:rsidR="00964757" w:rsidRPr="00512C52" w:rsidRDefault="00964757" w:rsidP="00EB35EE">
      <w:pPr>
        <w:rPr>
          <w:rFonts w:ascii="Times New Roman" w:hAnsi="Times New Roman" w:cs="Times New Roman"/>
        </w:rPr>
      </w:pPr>
    </w:p>
    <w:p w14:paraId="21EDF753" w14:textId="43C76E2C" w:rsidR="00964757" w:rsidRPr="00512C52" w:rsidRDefault="00CA6B80" w:rsidP="00CA6B80">
      <w:pPr>
        <w:pStyle w:val="Heading1"/>
        <w:numPr>
          <w:ilvl w:val="0"/>
          <w:numId w:val="1"/>
        </w:numPr>
        <w:rPr>
          <w:rFonts w:ascii="Times New Roman" w:hAnsi="Times New Roman" w:cs="Times New Roman"/>
        </w:rPr>
      </w:pPr>
      <w:bookmarkStart w:id="2" w:name="_Toc4302677"/>
      <w:r w:rsidRPr="00512C52">
        <w:rPr>
          <w:rFonts w:ascii="Times New Roman" w:hAnsi="Times New Roman" w:cs="Times New Roman"/>
        </w:rPr>
        <w:t xml:space="preserve">Data </w:t>
      </w:r>
      <w:r w:rsidR="00D01A24" w:rsidRPr="00512C52">
        <w:rPr>
          <w:rFonts w:ascii="Times New Roman" w:hAnsi="Times New Roman" w:cs="Times New Roman"/>
        </w:rPr>
        <w:t>d</w:t>
      </w:r>
      <w:r w:rsidRPr="00512C52">
        <w:rPr>
          <w:rFonts w:ascii="Times New Roman" w:hAnsi="Times New Roman" w:cs="Times New Roman"/>
        </w:rPr>
        <w:t>escription</w:t>
      </w:r>
      <w:bookmarkEnd w:id="2"/>
    </w:p>
    <w:p w14:paraId="48D942A1" w14:textId="07B63208" w:rsidR="00204C0A" w:rsidRPr="00512C52" w:rsidRDefault="00CA6B80"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The data we used is the Apple stock option transaction history on March 20, 2018</w:t>
      </w:r>
      <w:r w:rsidR="00AA6221" w:rsidRPr="00512C52">
        <w:rPr>
          <w:rFonts w:ascii="Times New Roman" w:hAnsi="Times New Roman" w:cs="Times New Roman"/>
          <w:sz w:val="24"/>
          <w:szCs w:val="24"/>
        </w:rPr>
        <w:t xml:space="preserve"> of NASDAQ</w:t>
      </w:r>
      <w:r w:rsidRPr="00512C52">
        <w:rPr>
          <w:rFonts w:ascii="Times New Roman" w:hAnsi="Times New Roman" w:cs="Times New Roman"/>
          <w:sz w:val="24"/>
          <w:szCs w:val="24"/>
        </w:rPr>
        <w:t>. It contains trading time, option trad</w:t>
      </w:r>
      <w:r w:rsidR="00204C0A" w:rsidRPr="00512C52">
        <w:rPr>
          <w:rFonts w:ascii="Times New Roman" w:hAnsi="Times New Roman" w:cs="Times New Roman"/>
          <w:sz w:val="24"/>
          <w:szCs w:val="24"/>
        </w:rPr>
        <w:t>e</w:t>
      </w:r>
      <w:r w:rsidRPr="00512C52">
        <w:rPr>
          <w:rFonts w:ascii="Times New Roman" w:hAnsi="Times New Roman" w:cs="Times New Roman"/>
          <w:sz w:val="24"/>
          <w:szCs w:val="24"/>
        </w:rPr>
        <w:t xml:space="preserve"> price, strike price, option style, call and put style</w:t>
      </w:r>
      <w:r w:rsidR="00204C0A" w:rsidRPr="00512C52">
        <w:rPr>
          <w:rFonts w:ascii="Times New Roman" w:hAnsi="Times New Roman" w:cs="Times New Roman"/>
          <w:sz w:val="24"/>
          <w:szCs w:val="24"/>
        </w:rPr>
        <w:t xml:space="preserve"> and underlying stock trade price.</w:t>
      </w:r>
      <w:r w:rsidR="00926DAA" w:rsidRPr="00512C52">
        <w:rPr>
          <w:rFonts w:ascii="Times New Roman" w:hAnsi="Times New Roman" w:cs="Times New Roman"/>
          <w:sz w:val="24"/>
          <w:szCs w:val="24"/>
        </w:rPr>
        <w:t xml:space="preserve"> There are </w:t>
      </w:r>
      <w:r w:rsidR="00AA6221" w:rsidRPr="00512C52">
        <w:rPr>
          <w:rFonts w:ascii="Times New Roman" w:hAnsi="Times New Roman" w:cs="Times New Roman"/>
          <w:sz w:val="24"/>
          <w:szCs w:val="24"/>
        </w:rPr>
        <w:t xml:space="preserve">20211 records of the trading history of the day. The option underlying stock is Apple stock. But the strike price and the maturity of the options are different. There are 18 different maturities (from 1-week to 27-month’s maturity) and 58 strike prices (from 40 to 300). And there are both call and put options. </w:t>
      </w:r>
    </w:p>
    <w:p w14:paraId="0502E345" w14:textId="2B16DB61" w:rsidR="00AA6221" w:rsidRPr="00512C52" w:rsidRDefault="00AA6221"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Below </w:t>
      </w:r>
      <w:r w:rsidR="002E3781" w:rsidRPr="00512C52">
        <w:rPr>
          <w:rFonts w:ascii="Times New Roman" w:hAnsi="Times New Roman" w:cs="Times New Roman"/>
          <w:sz w:val="24"/>
          <w:szCs w:val="24"/>
        </w:rPr>
        <w:t>are the</w:t>
      </w:r>
      <w:r w:rsidRPr="00512C52">
        <w:rPr>
          <w:rFonts w:ascii="Times New Roman" w:hAnsi="Times New Roman" w:cs="Times New Roman"/>
          <w:sz w:val="24"/>
          <w:szCs w:val="24"/>
        </w:rPr>
        <w:t xml:space="preserve"> of the important variables and their symbols that will be used in the later research: </w:t>
      </w:r>
    </w:p>
    <w:p w14:paraId="3FD8BCAA" w14:textId="56D29173" w:rsidR="00AA6221" w:rsidRPr="00512C52" w:rsidRDefault="00064BF3"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2E3781" w:rsidRPr="00512C52">
        <w:rPr>
          <w:rFonts w:ascii="Times New Roman" w:hAnsi="Times New Roman" w:cs="Times New Roman"/>
          <w:sz w:val="24"/>
          <w:szCs w:val="24"/>
        </w:rPr>
        <w:t>: current stock price</w:t>
      </w:r>
    </w:p>
    <w:p w14:paraId="3A4AC36E" w14:textId="115B49F8" w:rsidR="002E3781" w:rsidRPr="00512C52" w:rsidRDefault="002E3781"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r>
          <w:rPr>
            <w:rFonts w:ascii="Cambria Math" w:hAnsi="Cambria Math" w:cs="Times New Roman"/>
            <w:sz w:val="24"/>
            <w:szCs w:val="24"/>
          </w:rPr>
          <m:t>K</m:t>
        </m:r>
      </m:oMath>
      <w:r w:rsidRPr="00512C52">
        <w:rPr>
          <w:rFonts w:ascii="Times New Roman" w:hAnsi="Times New Roman" w:cs="Times New Roman"/>
          <w:sz w:val="24"/>
          <w:szCs w:val="24"/>
        </w:rPr>
        <w:t>: option strike price</w:t>
      </w:r>
    </w:p>
    <w:p w14:paraId="76315E25" w14:textId="3FEE4214" w:rsidR="002E3781" w:rsidRPr="00512C52" w:rsidRDefault="002E3781"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r>
          <m:rPr>
            <m:sty m:val="p"/>
          </m:rPr>
          <w:rPr>
            <w:rFonts w:ascii="Cambria Math" w:hAnsi="Cambria Math" w:cs="Times New Roman"/>
            <w:sz w:val="24"/>
            <w:szCs w:val="24"/>
          </w:rPr>
          <m:t>σ</m:t>
        </m:r>
      </m:oMath>
      <w:r w:rsidRPr="00512C52">
        <w:rPr>
          <w:rFonts w:ascii="Times New Roman" w:hAnsi="Times New Roman" w:cs="Times New Roman"/>
          <w:sz w:val="24"/>
          <w:szCs w:val="24"/>
        </w:rPr>
        <w:t>: volatility of stock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m:rPr>
                <m:sty m:val="p"/>
              </m:rPr>
              <w:rPr>
                <w:rFonts w:ascii="Cambria Math" w:hAnsi="Cambria Math" w:cs="Times New Roman"/>
                <w:sz w:val="24"/>
                <w:szCs w:val="24"/>
              </w:rPr>
              <m:t>2</m:t>
            </m:r>
          </m:sup>
        </m:sSup>
      </m:oMath>
      <w:r w:rsidRPr="00512C52">
        <w:rPr>
          <w:rFonts w:ascii="Times New Roman" w:hAnsi="Times New Roman" w:cs="Times New Roman"/>
          <w:sz w:val="24"/>
          <w:szCs w:val="24"/>
        </w:rPr>
        <w:t xml:space="preserve"> is the variance)</w:t>
      </w:r>
    </w:p>
    <w:p w14:paraId="2692B6C2" w14:textId="0DEB561E" w:rsidR="002E3781" w:rsidRPr="00512C52" w:rsidRDefault="002E3781"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r>
          <w:rPr>
            <w:rFonts w:ascii="Cambria Math" w:hAnsi="Cambria Math" w:cs="Times New Roman"/>
            <w:sz w:val="24"/>
            <w:szCs w:val="24"/>
          </w:rPr>
          <m:t>T</m:t>
        </m:r>
      </m:oMath>
      <w:r w:rsidRPr="00512C52">
        <w:rPr>
          <w:rFonts w:ascii="Times New Roman" w:hAnsi="Times New Roman" w:cs="Times New Roman"/>
          <w:sz w:val="24"/>
          <w:szCs w:val="24"/>
        </w:rPr>
        <w:t>: maturity of the option</w:t>
      </w:r>
    </w:p>
    <w:p w14:paraId="5F082564" w14:textId="71E9BE7E" w:rsidR="002E3781" w:rsidRPr="00512C52" w:rsidRDefault="002E3781"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r>
          <w:rPr>
            <w:rFonts w:ascii="Cambria Math" w:hAnsi="Cambria Math" w:cs="Times New Roman"/>
            <w:sz w:val="24"/>
            <w:szCs w:val="24"/>
          </w:rPr>
          <m:t>r</m:t>
        </m:r>
      </m:oMath>
      <w:r w:rsidRPr="00512C52">
        <w:rPr>
          <w:rFonts w:ascii="Times New Roman" w:hAnsi="Times New Roman" w:cs="Times New Roman"/>
          <w:sz w:val="24"/>
          <w:szCs w:val="24"/>
        </w:rPr>
        <w:t>: interest rate (risk-free rate)</w:t>
      </w:r>
    </w:p>
    <w:p w14:paraId="2F3DC9A2" w14:textId="4097F6D9" w:rsidR="00A80025" w:rsidRPr="00512C52" w:rsidRDefault="00A80025" w:rsidP="002E3781">
      <w:pPr>
        <w:pStyle w:val="ListParagraph"/>
        <w:numPr>
          <w:ilvl w:val="0"/>
          <w:numId w:val="6"/>
        </w:numPr>
        <w:spacing w:beforeLines="50" w:before="156" w:line="360" w:lineRule="auto"/>
        <w:ind w:firstLineChars="0"/>
        <w:rPr>
          <w:rFonts w:ascii="Times New Roman" w:hAnsi="Times New Roman" w:cs="Times New Roman"/>
          <w:sz w:val="24"/>
          <w:szCs w:val="24"/>
        </w:rPr>
      </w:pPr>
      <m:oMath>
        <m:r>
          <w:rPr>
            <w:rFonts w:ascii="Cambria Math" w:hAnsi="Cambria Math" w:cs="Times New Roman"/>
            <w:sz w:val="24"/>
            <w:szCs w:val="24"/>
          </w:rPr>
          <m:t>N</m:t>
        </m:r>
      </m:oMath>
      <w:r w:rsidRPr="00512C52">
        <w:rPr>
          <w:rFonts w:ascii="Times New Roman" w:hAnsi="Times New Roman" w:cs="Times New Roman"/>
          <w:sz w:val="24"/>
          <w:szCs w:val="24"/>
        </w:rPr>
        <w:t>: the number of data</w:t>
      </w:r>
    </w:p>
    <w:p w14:paraId="40B333CA" w14:textId="4F7C3121" w:rsidR="002E3781" w:rsidRPr="00512C52" w:rsidRDefault="002E3781"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Here we assume the interest rate or risk-free rate is zero for the calculation simplicity.</w:t>
      </w:r>
    </w:p>
    <w:p w14:paraId="3C35F307" w14:textId="76ADDEF7" w:rsidR="00204C0A" w:rsidRPr="00512C52" w:rsidRDefault="00D01A24" w:rsidP="00DE3CF6">
      <w:pPr>
        <w:pStyle w:val="Heading1"/>
        <w:numPr>
          <w:ilvl w:val="0"/>
          <w:numId w:val="1"/>
        </w:numPr>
        <w:rPr>
          <w:rFonts w:ascii="Times New Roman" w:hAnsi="Times New Roman" w:cs="Times New Roman"/>
        </w:rPr>
      </w:pPr>
      <w:bookmarkStart w:id="3" w:name="_Toc4302678"/>
      <w:r w:rsidRPr="00512C52">
        <w:rPr>
          <w:rFonts w:ascii="Times New Roman" w:hAnsi="Times New Roman" w:cs="Times New Roman"/>
        </w:rPr>
        <w:t>Using historical variance to estimate option price</w:t>
      </w:r>
      <w:bookmarkEnd w:id="3"/>
    </w:p>
    <w:p w14:paraId="56B81A76" w14:textId="11F88026" w:rsidR="002E3781" w:rsidRPr="00512C52" w:rsidRDefault="002E3781"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In the BSM model, </w:t>
      </w:r>
      <w:r w:rsidR="008C7034" w:rsidRPr="00512C52">
        <w:rPr>
          <w:rFonts w:ascii="Times New Roman" w:hAnsi="Times New Roman" w:cs="Times New Roman"/>
          <w:sz w:val="24"/>
          <w:szCs w:val="24"/>
        </w:rPr>
        <w:t xml:space="preserve">it is easy to get the underlying stock price, strike price, maturity and other information in the market. But </w:t>
      </w:r>
      <w:r w:rsidRPr="00512C52">
        <w:rPr>
          <w:rFonts w:ascii="Times New Roman" w:hAnsi="Times New Roman" w:cs="Times New Roman"/>
          <w:sz w:val="24"/>
          <w:szCs w:val="24"/>
        </w:rPr>
        <w:t xml:space="preserve">volatility is the unknown variable to </w:t>
      </w:r>
      <w:r w:rsidR="008C7034" w:rsidRPr="00512C52">
        <w:rPr>
          <w:rFonts w:ascii="Times New Roman" w:hAnsi="Times New Roman" w:cs="Times New Roman"/>
          <w:sz w:val="24"/>
          <w:szCs w:val="24"/>
        </w:rPr>
        <w:t xml:space="preserve">be </w:t>
      </w:r>
      <w:r w:rsidRPr="00512C52">
        <w:rPr>
          <w:rFonts w:ascii="Times New Roman" w:hAnsi="Times New Roman" w:cs="Times New Roman"/>
          <w:sz w:val="24"/>
          <w:szCs w:val="24"/>
        </w:rPr>
        <w:t>calculate</w:t>
      </w:r>
      <w:r w:rsidR="008C7034" w:rsidRPr="00512C52">
        <w:rPr>
          <w:rFonts w:ascii="Times New Roman" w:hAnsi="Times New Roman" w:cs="Times New Roman"/>
          <w:sz w:val="24"/>
          <w:szCs w:val="24"/>
        </w:rPr>
        <w:t xml:space="preserve">d </w:t>
      </w:r>
      <w:r w:rsidR="008C7034" w:rsidRPr="00512C52">
        <w:rPr>
          <w:rFonts w:ascii="Times New Roman" w:hAnsi="Times New Roman" w:cs="Times New Roman"/>
          <w:sz w:val="24"/>
          <w:szCs w:val="24"/>
        </w:rPr>
        <w:lastRenderedPageBreak/>
        <w:t>using other information</w:t>
      </w:r>
      <w:r w:rsidRPr="00512C52">
        <w:rPr>
          <w:rFonts w:ascii="Times New Roman" w:hAnsi="Times New Roman" w:cs="Times New Roman"/>
          <w:sz w:val="24"/>
          <w:szCs w:val="24"/>
        </w:rPr>
        <w:t xml:space="preserve">. In the first stage, we use the historical volatility </w:t>
      </w:r>
      <w:r w:rsidR="008C7034" w:rsidRPr="00512C52">
        <w:rPr>
          <w:rFonts w:ascii="Times New Roman" w:hAnsi="Times New Roman" w:cs="Times New Roman"/>
          <w:sz w:val="24"/>
          <w:szCs w:val="24"/>
        </w:rPr>
        <w:t>as the volatility variable in the BSM model</w:t>
      </w:r>
      <w:r w:rsidRPr="00512C52">
        <w:rPr>
          <w:rFonts w:ascii="Times New Roman" w:hAnsi="Times New Roman" w:cs="Times New Roman"/>
          <w:sz w:val="24"/>
          <w:szCs w:val="24"/>
        </w:rPr>
        <w:t xml:space="preserve">. </w:t>
      </w:r>
    </w:p>
    <w:p w14:paraId="59AEAF9F" w14:textId="571BF72F" w:rsidR="002E3781" w:rsidRPr="00512C52" w:rsidRDefault="002E3781"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Given stock price, we can calculate the log return of the stock. And the </w:t>
      </w:r>
      <w:r w:rsidR="008C7034" w:rsidRPr="00512C52">
        <w:rPr>
          <w:rFonts w:ascii="Times New Roman" w:hAnsi="Times New Roman" w:cs="Times New Roman"/>
          <w:sz w:val="24"/>
          <w:szCs w:val="24"/>
        </w:rPr>
        <w:t>standard deviation</w:t>
      </w:r>
      <w:r w:rsidRPr="00512C52">
        <w:rPr>
          <w:rFonts w:ascii="Times New Roman" w:hAnsi="Times New Roman" w:cs="Times New Roman"/>
          <w:sz w:val="24"/>
          <w:szCs w:val="24"/>
        </w:rPr>
        <w:t xml:space="preserve"> of the log return is the historical volatility</w:t>
      </w:r>
      <w:r w:rsidR="008C7034" w:rsidRPr="00512C52">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oMath>
      <w:r w:rsidRPr="00512C52">
        <w:rPr>
          <w:rFonts w:ascii="Times New Roman" w:hAnsi="Times New Roman" w:cs="Times New Roman"/>
          <w:sz w:val="24"/>
          <w:szCs w:val="24"/>
        </w:rPr>
        <w:t>.</w:t>
      </w:r>
      <w:r w:rsidR="00A80025" w:rsidRPr="00512C5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00A80025" w:rsidRPr="00512C52">
        <w:rPr>
          <w:rFonts w:ascii="Times New Roman" w:hAnsi="Times New Roman" w:cs="Times New Roman"/>
          <w:sz w:val="24"/>
          <w:szCs w:val="24"/>
        </w:rPr>
        <w:t xml:space="preserve"> is the log return of the stock at time t. </w:t>
      </w:r>
      <m:oMath>
        <m:acc>
          <m:accPr>
            <m:chr m:val="̅"/>
            <m:ctrlPr>
              <w:rPr>
                <w:rFonts w:ascii="Cambria Math" w:hAnsi="Cambria Math" w:cs="Times New Roman"/>
                <w:sz w:val="24"/>
                <w:szCs w:val="24"/>
              </w:rPr>
            </m:ctrlPr>
          </m:accPr>
          <m:e>
            <m:r>
              <w:rPr>
                <w:rFonts w:ascii="Cambria Math" w:hAnsi="Cambria Math" w:cs="Times New Roman"/>
                <w:sz w:val="24"/>
                <w:szCs w:val="24"/>
              </w:rPr>
              <m:t>R</m:t>
            </m:r>
          </m:e>
        </m:acc>
      </m:oMath>
      <w:r w:rsidR="00A80025" w:rsidRPr="00512C52">
        <w:rPr>
          <w:rFonts w:ascii="Times New Roman" w:hAnsi="Times New Roman" w:cs="Times New Roman"/>
          <w:sz w:val="24"/>
          <w:szCs w:val="24"/>
        </w:rPr>
        <w:t xml:space="preserve"> is the mean of the log return. </w:t>
      </w:r>
    </w:p>
    <w:p w14:paraId="01015F07" w14:textId="3A0C085A" w:rsidR="002E3781" w:rsidRPr="00512C52" w:rsidRDefault="00064BF3" w:rsidP="002E3781">
      <w:pPr>
        <w:spacing w:beforeLines="50" w:before="156" w:line="360" w:lineRule="auto"/>
        <w:rPr>
          <w:rFonts w:ascii="Times New Roman" w:hAnsi="Times New Roman" w:cs="Times New Roman"/>
          <w:sz w:val="24"/>
          <w:szCs w:val="24"/>
        </w:rPr>
      </w:pPr>
      <m:oMathPara>
        <m:oMath>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σ</m:t>
                  </m:r>
                </m:e>
              </m:acc>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=1</m:t>
              </m:r>
            </m:sub>
            <m:sup>
              <m:r>
                <w:rPr>
                  <w:rFonts w:ascii="Cambria Math" w:hAnsi="Cambria Math" w:cs="Times New Roman"/>
                  <w:sz w:val="24"/>
                  <w:szCs w:val="24"/>
                </w:rPr>
                <m:t>N</m:t>
              </m:r>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R</m:t>
                          </m:r>
                        </m:e>
                      </m:acc>
                    </m:e>
                  </m:d>
                </m:e>
                <m:sup>
                  <m:r>
                    <m:rPr>
                      <m:sty m:val="p"/>
                    </m:rPr>
                    <w:rPr>
                      <w:rFonts w:ascii="Cambria Math" w:hAnsi="Cambria Math" w:cs="Times New Roman"/>
                      <w:sz w:val="24"/>
                      <w:szCs w:val="24"/>
                    </w:rPr>
                    <m:t>2</m:t>
                  </m:r>
                </m:sup>
              </m:sSup>
            </m:e>
          </m:nary>
        </m:oMath>
      </m:oMathPara>
    </w:p>
    <w:p w14:paraId="7A532188" w14:textId="171E92F8" w:rsidR="00A80025" w:rsidRPr="00512C52" w:rsidRDefault="00064BF3" w:rsidP="002E3781">
      <w:pPr>
        <w:spacing w:beforeLines="50" w:before="156"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=log⁡(</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eastAsia="Microsoft YaHei" w:hAnsi="Cambria Math" w:cs="Times New Roman"/>
                      <w:sz w:val="24"/>
                      <w:szCs w:val="24"/>
                    </w:rPr>
                    <m:t>-</m:t>
                  </m:r>
                  <m:r>
                    <m:rPr>
                      <m:sty m:val="p"/>
                    </m:rPr>
                    <w:rPr>
                      <w:rFonts w:ascii="Cambria Math" w:hAnsi="Cambria Math" w:cs="Times New Roman"/>
                      <w:sz w:val="24"/>
                      <w:szCs w:val="24"/>
                    </w:rPr>
                    <m:t>1</m:t>
                  </m:r>
                </m:sub>
              </m:sSub>
            </m:den>
          </m:f>
          <m:r>
            <m:rPr>
              <m:sty m:val="p"/>
            </m:rPr>
            <w:rPr>
              <w:rFonts w:ascii="Cambria Math" w:hAnsi="Cambria Math" w:cs="Times New Roman"/>
              <w:sz w:val="24"/>
              <w:szCs w:val="24"/>
            </w:rPr>
            <m:t>)</m:t>
          </m:r>
        </m:oMath>
      </m:oMathPara>
    </w:p>
    <w:p w14:paraId="5B112E7F" w14:textId="0AB4E4CB" w:rsidR="000F7ED1" w:rsidRPr="00512C52" w:rsidRDefault="000F7ED1" w:rsidP="002E3781">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We used the historical</w:t>
      </w:r>
      <w:r w:rsidR="00FE25AE" w:rsidRPr="00512C52">
        <w:rPr>
          <w:rFonts w:ascii="Times New Roman" w:hAnsi="Times New Roman" w:cs="Times New Roman"/>
          <w:sz w:val="24"/>
          <w:szCs w:val="24"/>
        </w:rPr>
        <w:t xml:space="preserve"> stock price data</w:t>
      </w:r>
      <w:r w:rsidRPr="00512C52">
        <w:rPr>
          <w:rFonts w:ascii="Times New Roman" w:hAnsi="Times New Roman" w:cs="Times New Roman"/>
          <w:sz w:val="24"/>
          <w:szCs w:val="24"/>
        </w:rPr>
        <w:t xml:space="preserve"> (March 20, 2017 to March 20, 2018 AAPL stock close price data from Yahoo finance) to calculate the volatility. We tried three different time frames: weekly, monthly and yearly.</w:t>
      </w:r>
      <w:r w:rsidR="0075122B" w:rsidRPr="00512C52">
        <w:rPr>
          <w:rFonts w:ascii="Times New Roman" w:hAnsi="Times New Roman" w:cs="Times New Roman"/>
          <w:sz w:val="24"/>
          <w:szCs w:val="24"/>
        </w:rPr>
        <w:t xml:space="preserve"> All these variances are annualized.</w:t>
      </w:r>
      <w:r w:rsidRPr="00512C52">
        <w:rPr>
          <w:rFonts w:ascii="Times New Roman" w:hAnsi="Times New Roman" w:cs="Times New Roman"/>
          <w:sz w:val="24"/>
          <w:szCs w:val="24"/>
        </w:rPr>
        <w:t xml:space="preserve"> </w:t>
      </w:r>
    </w:p>
    <w:p w14:paraId="6D0C30BA" w14:textId="5979221D" w:rsidR="002E3781" w:rsidRPr="00512C52" w:rsidRDefault="00A80025"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Based on BSM model, the call option price is:</w:t>
      </w:r>
    </w:p>
    <w:p w14:paraId="36BE155F" w14:textId="77777777" w:rsidR="004E63C0" w:rsidRPr="00512C52" w:rsidRDefault="004E63C0" w:rsidP="004E63C0">
      <w:pPr>
        <w:spacing w:beforeLines="50" w:before="156" w:line="360" w:lineRule="auto"/>
        <w:rPr>
          <w:rFonts w:ascii="Times New Roman" w:hAnsi="Times New Roman" w:cs="Times New Roman"/>
          <w:sz w:val="24"/>
          <w:szCs w:val="24"/>
        </w:rPr>
      </w:pPr>
      <m:oMathPara>
        <m:oMath>
          <m:r>
            <m:rPr>
              <m:sty m:val="p"/>
            </m:rPr>
            <w:rPr>
              <w:rFonts w:ascii="Cambria Math" w:hAnsi="Cambria Math" w:cs="Times New Roman"/>
              <w:sz w:val="24"/>
              <w:szCs w:val="24"/>
            </w:rPr>
            <m:t>C</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t</m:t>
              </m:r>
            </m:e>
          </m:d>
          <m:r>
            <m:rPr>
              <m:sty m:val="p"/>
            </m:rPr>
            <w:rPr>
              <w:rFonts w:ascii="Cambria Math" w:hAnsi="Cambria Math" w:cs="Times New Roman"/>
              <w:sz w:val="24"/>
              <w:szCs w:val="24"/>
            </w:rPr>
            <m:t>=N</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ty m:val="p"/>
            </m:rPr>
            <w:rPr>
              <w:rFonts w:ascii="Cambria Math" w:hAnsi="Cambria Math" w:cs="Times New Roman"/>
              <w:sz w:val="24"/>
              <w:szCs w:val="24"/>
            </w:rPr>
            <m:t>-N</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*K*</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p>
          </m:sSup>
        </m:oMath>
      </m:oMathPara>
    </w:p>
    <w:p w14:paraId="76537996" w14:textId="291B1311" w:rsidR="004E63C0" w:rsidRPr="00512C52" w:rsidRDefault="00064BF3" w:rsidP="004E63C0">
      <w:pPr>
        <w:spacing w:beforeLines="50" w:before="156"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sz w:val="24"/>
                      <w:szCs w:val="24"/>
                    </w:rPr>
                  </m:ctrlPr>
                </m:radPr>
                <m:deg/>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e>
              </m:rad>
            </m:den>
          </m:f>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r>
                        <w:rPr>
                          <w:rFonts w:ascii="Cambria Math" w:hAnsi="Cambria Math" w:cs="Times New Roman"/>
                          <w:sz w:val="24"/>
                          <w:szCs w:val="24"/>
                        </w:rPr>
                        <m:t>K</m:t>
                      </m:r>
                    </m:den>
                  </m:f>
                </m:e>
              </m:d>
            </m:e>
          </m:func>
          <m:r>
            <m:rPr>
              <m:sty m:val="p"/>
            </m:rP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den>
              </m:f>
            </m:e>
          </m:d>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oMath>
      </m:oMathPara>
    </w:p>
    <w:p w14:paraId="0EB745FA" w14:textId="34000E2E" w:rsidR="004E63C0" w:rsidRPr="00512C52" w:rsidRDefault="00064BF3" w:rsidP="004E63C0">
      <w:pPr>
        <w:spacing w:beforeLines="50" w:before="156"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r>
            <w:rPr>
              <w:rFonts w:ascii="Cambria Math" w:hAnsi="Cambria Math" w:cs="Times New Roman"/>
              <w:sz w:val="24"/>
              <w:szCs w:val="24"/>
            </w:rPr>
            <m:t>σ</m:t>
          </m:r>
          <m:rad>
            <m:radPr>
              <m:degHide m:val="1"/>
              <m:ctrlPr>
                <w:rPr>
                  <w:rFonts w:ascii="Cambria Math" w:hAnsi="Cambria Math" w:cs="Times New Roman"/>
                  <w:sz w:val="24"/>
                  <w:szCs w:val="24"/>
                </w:rPr>
              </m:ctrlPr>
            </m:radPr>
            <m:deg/>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e>
          </m:rad>
        </m:oMath>
      </m:oMathPara>
    </w:p>
    <w:p w14:paraId="69E101B5" w14:textId="4A51079A" w:rsidR="00A80025" w:rsidRPr="00512C52" w:rsidRDefault="00A80025"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And the put option price is:</w:t>
      </w:r>
    </w:p>
    <w:p w14:paraId="69C8CB90" w14:textId="20C33AC4" w:rsidR="00A80025" w:rsidRPr="00512C52" w:rsidRDefault="004E63C0" w:rsidP="004E63C0">
      <w:pPr>
        <w:spacing w:beforeLines="50" w:before="156" w:line="360" w:lineRule="auto"/>
        <w:rPr>
          <w:rFonts w:ascii="Times New Roman" w:hAnsi="Times New Roman" w:cs="Times New Roman"/>
          <w:sz w:val="24"/>
          <w:szCs w:val="24"/>
        </w:rPr>
      </w:pPr>
      <m:oMathPara>
        <m:oMath>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t</m:t>
              </m:r>
            </m:e>
          </m:d>
          <m:r>
            <m:rPr>
              <m:sty m:val="p"/>
            </m:rPr>
            <w:rPr>
              <w:rFonts w:ascii="Cambria Math" w:hAnsi="Cambria Math" w:cs="Times New Roman"/>
              <w:sz w:val="24"/>
              <w:szCs w:val="24"/>
            </w:rPr>
            <m:t>=N</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*K*</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e>
              </m:d>
            </m:sup>
          </m:sSup>
          <m:r>
            <m:rPr>
              <m:sty m:val="p"/>
            </m:rPr>
            <w:rPr>
              <w:rFonts w:ascii="Cambria Math" w:hAnsi="Cambria Math" w:cs="Times New Roman"/>
              <w:sz w:val="24"/>
              <w:szCs w:val="24"/>
            </w:rPr>
            <m:t>-N</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m:oMathPara>
    </w:p>
    <w:p w14:paraId="7CB23D1A" w14:textId="1183D815" w:rsidR="004E63C0" w:rsidRPr="00512C52" w:rsidRDefault="004E63C0"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Here, N(x) is the cumulative distribution function of standard normal distribution.</w:t>
      </w:r>
    </w:p>
    <w:p w14:paraId="52C53942" w14:textId="3F9C90FA" w:rsidR="00D574C3" w:rsidRPr="00512C52" w:rsidRDefault="000F7ED1"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We can calculate the option price based on the data given in the table and above information</w:t>
      </w:r>
      <w:r w:rsidR="009C2C91" w:rsidRPr="00512C52">
        <w:rPr>
          <w:rFonts w:ascii="Times New Roman" w:hAnsi="Times New Roman" w:cs="Times New Roman"/>
          <w:sz w:val="24"/>
          <w:szCs w:val="24"/>
        </w:rPr>
        <w:t xml:space="preserve"> (difference is the estimated option price minus real option price)</w:t>
      </w:r>
      <w:r w:rsidRPr="00512C52">
        <w:rPr>
          <w:rFonts w:ascii="Times New Roman" w:hAnsi="Times New Roman" w:cs="Times New Roman"/>
          <w:sz w:val="24"/>
          <w:szCs w:val="24"/>
        </w:rPr>
        <w:t>.</w:t>
      </w:r>
    </w:p>
    <w:p w14:paraId="74729D5C" w14:textId="6C0BCAC1" w:rsidR="00CA1C63" w:rsidRPr="00512C52" w:rsidRDefault="00CA1C63" w:rsidP="004E63C0">
      <w:pPr>
        <w:spacing w:beforeLines="50" w:before="156" w:line="360" w:lineRule="auto"/>
        <w:rPr>
          <w:rFonts w:ascii="Times New Roman" w:hAnsi="Times New Roman" w:cs="Times New Roman"/>
          <w:sz w:val="24"/>
          <w:szCs w:val="24"/>
        </w:rPr>
      </w:pPr>
    </w:p>
    <w:p w14:paraId="1B6E4387" w14:textId="70215DCB" w:rsidR="00CA1C63" w:rsidRPr="00512C52" w:rsidRDefault="00CA1C63" w:rsidP="004E63C0">
      <w:pPr>
        <w:spacing w:beforeLines="50" w:before="156" w:line="360" w:lineRule="auto"/>
        <w:rPr>
          <w:rFonts w:ascii="Times New Roman" w:hAnsi="Times New Roman" w:cs="Times New Roman"/>
          <w:sz w:val="24"/>
          <w:szCs w:val="24"/>
        </w:rPr>
      </w:pPr>
    </w:p>
    <w:p w14:paraId="4B182716" w14:textId="77777777" w:rsidR="00CA1C63" w:rsidRPr="00512C52" w:rsidRDefault="00CA1C63" w:rsidP="004E63C0">
      <w:pPr>
        <w:spacing w:beforeLines="50" w:before="156" w:line="360" w:lineRule="auto"/>
        <w:rPr>
          <w:rFonts w:ascii="Times New Roman" w:hAnsi="Times New Roman" w:cs="Times New Roman"/>
          <w:sz w:val="24"/>
          <w:szCs w:val="24"/>
        </w:rPr>
      </w:pPr>
    </w:p>
    <w:p w14:paraId="68FB9ABA" w14:textId="0A01BE2A" w:rsidR="00D574C3" w:rsidRPr="002C4DAC" w:rsidRDefault="00D574C3" w:rsidP="004E63C0">
      <w:pPr>
        <w:spacing w:beforeLines="50" w:before="156" w:line="360" w:lineRule="auto"/>
        <w:rPr>
          <w:rFonts w:ascii="Times New Roman" w:hAnsi="Times New Roman" w:cs="Times New Roman"/>
          <w:b/>
          <w:sz w:val="24"/>
          <w:szCs w:val="24"/>
        </w:rPr>
      </w:pPr>
      <w:r w:rsidRPr="002C4DAC">
        <w:rPr>
          <w:rFonts w:ascii="Times New Roman" w:hAnsi="Times New Roman" w:cs="Times New Roman"/>
          <w:b/>
          <w:sz w:val="24"/>
          <w:szCs w:val="24"/>
        </w:rPr>
        <w:lastRenderedPageBreak/>
        <w:t xml:space="preserve">Table 2.1 </w:t>
      </w:r>
    </w:p>
    <w:tbl>
      <w:tblPr>
        <w:tblW w:w="8647" w:type="dxa"/>
        <w:jc w:val="center"/>
        <w:tblLook w:val="04A0" w:firstRow="1" w:lastRow="0" w:firstColumn="1" w:lastColumn="0" w:noHBand="0" w:noVBand="1"/>
      </w:tblPr>
      <w:tblGrid>
        <w:gridCol w:w="1686"/>
        <w:gridCol w:w="1410"/>
        <w:gridCol w:w="138"/>
        <w:gridCol w:w="1728"/>
        <w:gridCol w:w="1984"/>
        <w:gridCol w:w="284"/>
        <w:gridCol w:w="1134"/>
        <w:gridCol w:w="283"/>
      </w:tblGrid>
      <w:tr w:rsidR="00D574C3" w:rsidRPr="00512C52" w14:paraId="0038A1A7" w14:textId="77777777" w:rsidTr="00CA1C63">
        <w:trPr>
          <w:gridAfter w:val="1"/>
          <w:wAfter w:w="283" w:type="dxa"/>
          <w:trHeight w:val="300"/>
          <w:jc w:val="center"/>
        </w:trPr>
        <w:tc>
          <w:tcPr>
            <w:tcW w:w="1686" w:type="dxa"/>
            <w:tcBorders>
              <w:top w:val="single" w:sz="4" w:space="0" w:color="auto"/>
              <w:left w:val="nil"/>
              <w:bottom w:val="nil"/>
              <w:right w:val="nil"/>
            </w:tcBorders>
            <w:shd w:val="clear" w:color="auto" w:fill="auto"/>
            <w:vAlign w:val="center"/>
            <w:hideMark/>
          </w:tcPr>
          <w:p w14:paraId="7248C1C0"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Timeframe</w:t>
            </w:r>
          </w:p>
        </w:tc>
        <w:tc>
          <w:tcPr>
            <w:tcW w:w="1410" w:type="dxa"/>
            <w:tcBorders>
              <w:top w:val="single" w:sz="4" w:space="0" w:color="auto"/>
              <w:left w:val="nil"/>
              <w:bottom w:val="nil"/>
              <w:right w:val="nil"/>
            </w:tcBorders>
            <w:shd w:val="clear" w:color="auto" w:fill="auto"/>
            <w:vAlign w:val="center"/>
            <w:hideMark/>
          </w:tcPr>
          <w:p w14:paraId="6C3DD16B" w14:textId="64BC4D2C" w:rsidR="00D574C3" w:rsidRPr="00D574C3" w:rsidRDefault="00CA1C63" w:rsidP="00D574C3">
            <w:pPr>
              <w:widowControl/>
              <w:jc w:val="center"/>
              <w:rPr>
                <w:rFonts w:ascii="Times New Roman" w:eastAsia="DengXian" w:hAnsi="Times New Roman" w:cs="Times New Roman"/>
                <w:b/>
                <w:bCs/>
                <w:color w:val="000000"/>
                <w:kern w:val="0"/>
                <w:sz w:val="24"/>
                <w:szCs w:val="24"/>
              </w:rPr>
            </w:pPr>
            <w:r w:rsidRPr="00512C52">
              <w:rPr>
                <w:rFonts w:ascii="Times New Roman" w:eastAsia="DengXian" w:hAnsi="Times New Roman" w:cs="Times New Roman"/>
                <w:b/>
                <w:bCs/>
                <w:color w:val="000000"/>
                <w:kern w:val="0"/>
                <w:sz w:val="24"/>
                <w:szCs w:val="24"/>
              </w:rPr>
              <w:t>Historical Volatility</w:t>
            </w:r>
          </w:p>
        </w:tc>
        <w:tc>
          <w:tcPr>
            <w:tcW w:w="1866" w:type="dxa"/>
            <w:gridSpan w:val="2"/>
            <w:tcBorders>
              <w:top w:val="single" w:sz="4" w:space="0" w:color="auto"/>
              <w:left w:val="nil"/>
              <w:bottom w:val="nil"/>
              <w:right w:val="nil"/>
            </w:tcBorders>
            <w:shd w:val="clear" w:color="auto" w:fill="auto"/>
            <w:vAlign w:val="center"/>
            <w:hideMark/>
          </w:tcPr>
          <w:p w14:paraId="1A97DAA7"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Mean of difference</w:t>
            </w:r>
          </w:p>
        </w:tc>
        <w:tc>
          <w:tcPr>
            <w:tcW w:w="2268" w:type="dxa"/>
            <w:gridSpan w:val="2"/>
            <w:tcBorders>
              <w:top w:val="single" w:sz="4" w:space="0" w:color="auto"/>
              <w:left w:val="nil"/>
              <w:bottom w:val="nil"/>
              <w:right w:val="nil"/>
            </w:tcBorders>
            <w:shd w:val="clear" w:color="auto" w:fill="auto"/>
            <w:vAlign w:val="center"/>
            <w:hideMark/>
          </w:tcPr>
          <w:p w14:paraId="4EABF7FB"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Variance of difference</w:t>
            </w:r>
          </w:p>
        </w:tc>
        <w:tc>
          <w:tcPr>
            <w:tcW w:w="1134" w:type="dxa"/>
            <w:tcBorders>
              <w:top w:val="single" w:sz="4" w:space="0" w:color="auto"/>
              <w:left w:val="nil"/>
              <w:bottom w:val="single" w:sz="4" w:space="0" w:color="auto"/>
              <w:right w:val="nil"/>
            </w:tcBorders>
            <w:shd w:val="clear" w:color="auto" w:fill="auto"/>
            <w:vAlign w:val="center"/>
            <w:hideMark/>
          </w:tcPr>
          <w:p w14:paraId="365544AE"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MSE</w:t>
            </w:r>
          </w:p>
        </w:tc>
      </w:tr>
      <w:tr w:rsidR="00D574C3" w:rsidRPr="00512C52" w14:paraId="0897011C" w14:textId="77777777" w:rsidTr="00CA1C63">
        <w:trPr>
          <w:trHeight w:val="310"/>
          <w:jc w:val="center"/>
        </w:trPr>
        <w:tc>
          <w:tcPr>
            <w:tcW w:w="1686" w:type="dxa"/>
            <w:tcBorders>
              <w:top w:val="single" w:sz="4" w:space="0" w:color="auto"/>
              <w:left w:val="nil"/>
              <w:bottom w:val="nil"/>
              <w:right w:val="nil"/>
            </w:tcBorders>
            <w:shd w:val="clear" w:color="auto" w:fill="auto"/>
            <w:vAlign w:val="center"/>
            <w:hideMark/>
          </w:tcPr>
          <w:p w14:paraId="179E405D"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Weekly</w:t>
            </w:r>
          </w:p>
        </w:tc>
        <w:tc>
          <w:tcPr>
            <w:tcW w:w="1548" w:type="dxa"/>
            <w:gridSpan w:val="2"/>
            <w:tcBorders>
              <w:top w:val="single" w:sz="4" w:space="0" w:color="auto"/>
              <w:left w:val="nil"/>
              <w:bottom w:val="nil"/>
              <w:right w:val="nil"/>
            </w:tcBorders>
            <w:shd w:val="clear" w:color="auto" w:fill="auto"/>
            <w:vAlign w:val="center"/>
            <w:hideMark/>
          </w:tcPr>
          <w:p w14:paraId="2D17E836" w14:textId="670AFFA7" w:rsidR="00D574C3" w:rsidRPr="00D574C3" w:rsidRDefault="00CA1C63" w:rsidP="00D574C3">
            <w:pPr>
              <w:widowControl/>
              <w:jc w:val="center"/>
              <w:rPr>
                <w:rFonts w:ascii="Times New Roman" w:eastAsia="DengXian" w:hAnsi="Times New Roman" w:cs="Times New Roman"/>
                <w:color w:val="000000"/>
                <w:kern w:val="0"/>
                <w:sz w:val="24"/>
                <w:szCs w:val="24"/>
              </w:rPr>
            </w:pPr>
            <w:r w:rsidRPr="00512C52">
              <w:rPr>
                <w:rFonts w:ascii="Times New Roman" w:eastAsia="DengXian" w:hAnsi="Times New Roman" w:cs="Times New Roman"/>
                <w:color w:val="000000"/>
                <w:kern w:val="0"/>
                <w:sz w:val="24"/>
                <w:szCs w:val="24"/>
              </w:rPr>
              <w:t>0.0893</w:t>
            </w:r>
          </w:p>
        </w:tc>
        <w:tc>
          <w:tcPr>
            <w:tcW w:w="1728" w:type="dxa"/>
            <w:tcBorders>
              <w:top w:val="single" w:sz="4" w:space="0" w:color="auto"/>
              <w:left w:val="nil"/>
              <w:bottom w:val="nil"/>
              <w:right w:val="nil"/>
            </w:tcBorders>
            <w:shd w:val="clear" w:color="auto" w:fill="auto"/>
            <w:vAlign w:val="center"/>
            <w:hideMark/>
          </w:tcPr>
          <w:p w14:paraId="093418D9"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-1.5867</w:t>
            </w:r>
          </w:p>
        </w:tc>
        <w:tc>
          <w:tcPr>
            <w:tcW w:w="1984" w:type="dxa"/>
            <w:tcBorders>
              <w:top w:val="single" w:sz="4" w:space="0" w:color="auto"/>
              <w:left w:val="nil"/>
              <w:bottom w:val="nil"/>
              <w:right w:val="nil"/>
            </w:tcBorders>
            <w:shd w:val="clear" w:color="auto" w:fill="auto"/>
            <w:vAlign w:val="center"/>
            <w:hideMark/>
          </w:tcPr>
          <w:p w14:paraId="2EA9EF7C"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3.9694</w:t>
            </w:r>
          </w:p>
        </w:tc>
        <w:tc>
          <w:tcPr>
            <w:tcW w:w="1701" w:type="dxa"/>
            <w:gridSpan w:val="3"/>
            <w:tcBorders>
              <w:top w:val="nil"/>
              <w:left w:val="nil"/>
              <w:bottom w:val="nil"/>
              <w:right w:val="nil"/>
            </w:tcBorders>
            <w:shd w:val="clear" w:color="auto" w:fill="auto"/>
            <w:vAlign w:val="center"/>
            <w:hideMark/>
          </w:tcPr>
          <w:p w14:paraId="485539CB"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6.4869</w:t>
            </w:r>
          </w:p>
        </w:tc>
      </w:tr>
      <w:tr w:rsidR="00D574C3" w:rsidRPr="00512C52" w14:paraId="3A26AE55" w14:textId="77777777" w:rsidTr="00CA1C63">
        <w:trPr>
          <w:trHeight w:val="310"/>
          <w:jc w:val="center"/>
        </w:trPr>
        <w:tc>
          <w:tcPr>
            <w:tcW w:w="1686" w:type="dxa"/>
            <w:tcBorders>
              <w:top w:val="nil"/>
              <w:left w:val="nil"/>
              <w:bottom w:val="nil"/>
              <w:right w:val="nil"/>
            </w:tcBorders>
            <w:shd w:val="clear" w:color="auto" w:fill="auto"/>
            <w:vAlign w:val="center"/>
            <w:hideMark/>
          </w:tcPr>
          <w:p w14:paraId="241232EA"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Monthly</w:t>
            </w:r>
          </w:p>
        </w:tc>
        <w:tc>
          <w:tcPr>
            <w:tcW w:w="1548" w:type="dxa"/>
            <w:gridSpan w:val="2"/>
            <w:tcBorders>
              <w:top w:val="nil"/>
              <w:left w:val="nil"/>
              <w:bottom w:val="nil"/>
              <w:right w:val="nil"/>
            </w:tcBorders>
            <w:shd w:val="clear" w:color="auto" w:fill="auto"/>
            <w:vAlign w:val="center"/>
            <w:hideMark/>
          </w:tcPr>
          <w:p w14:paraId="69380722" w14:textId="17113C9B" w:rsidR="00D574C3" w:rsidRPr="00D574C3" w:rsidRDefault="00CA1C63" w:rsidP="00D574C3">
            <w:pPr>
              <w:widowControl/>
              <w:jc w:val="center"/>
              <w:rPr>
                <w:rFonts w:ascii="Times New Roman" w:eastAsia="DengXian" w:hAnsi="Times New Roman" w:cs="Times New Roman"/>
                <w:color w:val="000000"/>
                <w:kern w:val="0"/>
                <w:sz w:val="24"/>
                <w:szCs w:val="24"/>
              </w:rPr>
            </w:pPr>
            <w:r w:rsidRPr="00512C52">
              <w:rPr>
                <w:rFonts w:ascii="Times New Roman" w:eastAsia="DengXian" w:hAnsi="Times New Roman" w:cs="Times New Roman"/>
                <w:color w:val="000000"/>
                <w:kern w:val="0"/>
                <w:sz w:val="24"/>
                <w:szCs w:val="24"/>
              </w:rPr>
              <w:t>0.1904</w:t>
            </w:r>
          </w:p>
        </w:tc>
        <w:tc>
          <w:tcPr>
            <w:tcW w:w="1728" w:type="dxa"/>
            <w:tcBorders>
              <w:top w:val="nil"/>
              <w:left w:val="nil"/>
              <w:bottom w:val="nil"/>
              <w:right w:val="nil"/>
            </w:tcBorders>
            <w:shd w:val="clear" w:color="auto" w:fill="auto"/>
            <w:vAlign w:val="center"/>
            <w:hideMark/>
          </w:tcPr>
          <w:p w14:paraId="2576922C"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-0.5599</w:t>
            </w:r>
          </w:p>
        </w:tc>
        <w:tc>
          <w:tcPr>
            <w:tcW w:w="1984" w:type="dxa"/>
            <w:tcBorders>
              <w:top w:val="nil"/>
              <w:left w:val="nil"/>
              <w:bottom w:val="nil"/>
              <w:right w:val="nil"/>
            </w:tcBorders>
            <w:shd w:val="clear" w:color="auto" w:fill="auto"/>
            <w:vAlign w:val="center"/>
            <w:hideMark/>
          </w:tcPr>
          <w:p w14:paraId="50D26E43"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0.6586</w:t>
            </w:r>
          </w:p>
        </w:tc>
        <w:tc>
          <w:tcPr>
            <w:tcW w:w="1701" w:type="dxa"/>
            <w:gridSpan w:val="3"/>
            <w:tcBorders>
              <w:top w:val="nil"/>
              <w:left w:val="nil"/>
              <w:bottom w:val="nil"/>
              <w:right w:val="nil"/>
            </w:tcBorders>
            <w:shd w:val="clear" w:color="auto" w:fill="auto"/>
            <w:vAlign w:val="center"/>
            <w:hideMark/>
          </w:tcPr>
          <w:p w14:paraId="33DCD6BC"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0.9721</w:t>
            </w:r>
          </w:p>
        </w:tc>
      </w:tr>
      <w:tr w:rsidR="00D574C3" w:rsidRPr="00512C52" w14:paraId="4129D31F" w14:textId="77777777" w:rsidTr="00CA1C63">
        <w:trPr>
          <w:trHeight w:val="310"/>
          <w:jc w:val="center"/>
        </w:trPr>
        <w:tc>
          <w:tcPr>
            <w:tcW w:w="1686" w:type="dxa"/>
            <w:tcBorders>
              <w:top w:val="nil"/>
              <w:left w:val="nil"/>
              <w:bottom w:val="single" w:sz="4" w:space="0" w:color="auto"/>
              <w:right w:val="nil"/>
            </w:tcBorders>
            <w:shd w:val="clear" w:color="auto" w:fill="auto"/>
            <w:vAlign w:val="center"/>
            <w:hideMark/>
          </w:tcPr>
          <w:p w14:paraId="78FACA04" w14:textId="77777777" w:rsidR="00D574C3" w:rsidRPr="00D574C3" w:rsidRDefault="00D574C3" w:rsidP="00D574C3">
            <w:pPr>
              <w:widowControl/>
              <w:jc w:val="center"/>
              <w:rPr>
                <w:rFonts w:ascii="Times New Roman" w:eastAsia="DengXian" w:hAnsi="Times New Roman" w:cs="Times New Roman"/>
                <w:b/>
                <w:bCs/>
                <w:color w:val="000000"/>
                <w:kern w:val="0"/>
                <w:sz w:val="24"/>
                <w:szCs w:val="24"/>
              </w:rPr>
            </w:pPr>
            <w:r w:rsidRPr="00D574C3">
              <w:rPr>
                <w:rFonts w:ascii="Times New Roman" w:eastAsia="DengXian" w:hAnsi="Times New Roman" w:cs="Times New Roman"/>
                <w:b/>
                <w:bCs/>
                <w:color w:val="000000"/>
                <w:kern w:val="0"/>
                <w:sz w:val="24"/>
                <w:szCs w:val="24"/>
              </w:rPr>
              <w:t>Yearly</w:t>
            </w:r>
          </w:p>
        </w:tc>
        <w:tc>
          <w:tcPr>
            <w:tcW w:w="1548" w:type="dxa"/>
            <w:gridSpan w:val="2"/>
            <w:tcBorders>
              <w:top w:val="nil"/>
              <w:left w:val="nil"/>
              <w:bottom w:val="single" w:sz="4" w:space="0" w:color="auto"/>
              <w:right w:val="nil"/>
            </w:tcBorders>
            <w:shd w:val="clear" w:color="auto" w:fill="auto"/>
            <w:vAlign w:val="center"/>
            <w:hideMark/>
          </w:tcPr>
          <w:p w14:paraId="4825052C" w14:textId="63485D33" w:rsidR="00D574C3" w:rsidRPr="00D574C3" w:rsidRDefault="00CA1C63" w:rsidP="00D574C3">
            <w:pPr>
              <w:widowControl/>
              <w:jc w:val="center"/>
              <w:rPr>
                <w:rFonts w:ascii="Times New Roman" w:eastAsia="DengXian" w:hAnsi="Times New Roman" w:cs="Times New Roman"/>
                <w:color w:val="000000"/>
                <w:kern w:val="0"/>
                <w:sz w:val="24"/>
                <w:szCs w:val="24"/>
              </w:rPr>
            </w:pPr>
            <w:r w:rsidRPr="00512C52">
              <w:rPr>
                <w:rFonts w:ascii="Times New Roman" w:eastAsia="DengXian" w:hAnsi="Times New Roman" w:cs="Times New Roman"/>
                <w:color w:val="000000"/>
                <w:kern w:val="0"/>
                <w:sz w:val="24"/>
                <w:szCs w:val="24"/>
              </w:rPr>
              <w:t>0.1964</w:t>
            </w:r>
          </w:p>
        </w:tc>
        <w:tc>
          <w:tcPr>
            <w:tcW w:w="1728" w:type="dxa"/>
            <w:tcBorders>
              <w:top w:val="nil"/>
              <w:left w:val="nil"/>
              <w:bottom w:val="single" w:sz="4" w:space="0" w:color="auto"/>
              <w:right w:val="nil"/>
            </w:tcBorders>
            <w:shd w:val="clear" w:color="auto" w:fill="auto"/>
            <w:vAlign w:val="center"/>
            <w:hideMark/>
          </w:tcPr>
          <w:p w14:paraId="4F443D6E"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-0.4860</w:t>
            </w:r>
          </w:p>
        </w:tc>
        <w:tc>
          <w:tcPr>
            <w:tcW w:w="1984" w:type="dxa"/>
            <w:tcBorders>
              <w:top w:val="nil"/>
              <w:left w:val="nil"/>
              <w:bottom w:val="single" w:sz="4" w:space="0" w:color="auto"/>
              <w:right w:val="nil"/>
            </w:tcBorders>
            <w:shd w:val="clear" w:color="auto" w:fill="auto"/>
            <w:vAlign w:val="center"/>
            <w:hideMark/>
          </w:tcPr>
          <w:p w14:paraId="07F573A4"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0.5513</w:t>
            </w:r>
          </w:p>
        </w:tc>
        <w:tc>
          <w:tcPr>
            <w:tcW w:w="1701" w:type="dxa"/>
            <w:gridSpan w:val="3"/>
            <w:tcBorders>
              <w:top w:val="nil"/>
              <w:left w:val="nil"/>
              <w:bottom w:val="single" w:sz="4" w:space="0" w:color="auto"/>
              <w:right w:val="nil"/>
            </w:tcBorders>
            <w:shd w:val="clear" w:color="auto" w:fill="auto"/>
            <w:vAlign w:val="center"/>
            <w:hideMark/>
          </w:tcPr>
          <w:p w14:paraId="6E620369" w14:textId="77777777" w:rsidR="00D574C3" w:rsidRPr="00D574C3" w:rsidRDefault="00D574C3" w:rsidP="00D574C3">
            <w:pPr>
              <w:widowControl/>
              <w:jc w:val="center"/>
              <w:rPr>
                <w:rFonts w:ascii="Times New Roman" w:eastAsia="DengXian" w:hAnsi="Times New Roman" w:cs="Times New Roman"/>
                <w:color w:val="000000"/>
                <w:kern w:val="0"/>
                <w:sz w:val="24"/>
                <w:szCs w:val="24"/>
              </w:rPr>
            </w:pPr>
            <w:r w:rsidRPr="00D574C3">
              <w:rPr>
                <w:rFonts w:ascii="Times New Roman" w:eastAsia="DengXian" w:hAnsi="Times New Roman" w:cs="Times New Roman"/>
                <w:color w:val="000000"/>
                <w:kern w:val="0"/>
                <w:sz w:val="24"/>
                <w:szCs w:val="24"/>
              </w:rPr>
              <w:t>0.7874</w:t>
            </w:r>
          </w:p>
        </w:tc>
      </w:tr>
    </w:tbl>
    <w:p w14:paraId="7FE911FE" w14:textId="0766185C" w:rsidR="00D574C3" w:rsidRDefault="00702E94" w:rsidP="004E63C0">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The following graphs are the difference of the estimated option price and market option price (for yearly</w:t>
      </w:r>
      <w:r w:rsidR="002C4DAC">
        <w:rPr>
          <w:rFonts w:ascii="Times New Roman" w:hAnsi="Times New Roman" w:cs="Times New Roman"/>
          <w:sz w:val="24"/>
          <w:szCs w:val="24"/>
        </w:rPr>
        <w:t>, monthly and weekly</w:t>
      </w:r>
      <w:r>
        <w:rPr>
          <w:rFonts w:ascii="Times New Roman" w:hAnsi="Times New Roman" w:cs="Times New Roman"/>
          <w:sz w:val="24"/>
          <w:szCs w:val="24"/>
        </w:rPr>
        <w:t xml:space="preserve"> volatility).</w:t>
      </w:r>
    </w:p>
    <w:p w14:paraId="6C7BB89B" w14:textId="2399BB4A" w:rsidR="00702E94" w:rsidRDefault="00702E94" w:rsidP="00702E94">
      <w:pPr>
        <w:spacing w:beforeLines="50" w:before="156" w:line="360" w:lineRule="auto"/>
        <w:jc w:val="center"/>
        <w:rPr>
          <w:rFonts w:ascii="Times New Roman" w:hAnsi="Times New Roman" w:cs="Times New Roman"/>
          <w:sz w:val="24"/>
          <w:szCs w:val="24"/>
        </w:rPr>
      </w:pPr>
      <w:r>
        <w:rPr>
          <w:noProof/>
        </w:rPr>
        <w:drawing>
          <wp:inline distT="0" distB="0" distL="0" distR="0" wp14:anchorId="5BB2C9B1" wp14:editId="229528C1">
            <wp:extent cx="4569106" cy="2892960"/>
            <wp:effectExtent l="0" t="0" r="317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651" cy="2905335"/>
                    </a:xfrm>
                    <a:prstGeom prst="rect">
                      <a:avLst/>
                    </a:prstGeom>
                  </pic:spPr>
                </pic:pic>
              </a:graphicData>
            </a:graphic>
          </wp:inline>
        </w:drawing>
      </w:r>
    </w:p>
    <w:p w14:paraId="503A9009" w14:textId="370DBA0B" w:rsidR="00702E94" w:rsidRDefault="00702E94" w:rsidP="00702E94">
      <w:pPr>
        <w:spacing w:beforeLines="50" w:before="156" w:line="360" w:lineRule="auto"/>
        <w:jc w:val="center"/>
        <w:rPr>
          <w:rFonts w:ascii="Times New Roman" w:hAnsi="Times New Roman" w:cs="Times New Roman"/>
          <w:sz w:val="24"/>
          <w:szCs w:val="24"/>
        </w:rPr>
      </w:pPr>
      <w:r>
        <w:rPr>
          <w:noProof/>
        </w:rPr>
        <w:drawing>
          <wp:inline distT="0" distB="0" distL="0" distR="0" wp14:anchorId="25D095B5" wp14:editId="1DE2A0EC">
            <wp:extent cx="4443925" cy="281370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825" cy="2829467"/>
                    </a:xfrm>
                    <a:prstGeom prst="rect">
                      <a:avLst/>
                    </a:prstGeom>
                  </pic:spPr>
                </pic:pic>
              </a:graphicData>
            </a:graphic>
          </wp:inline>
        </w:drawing>
      </w:r>
    </w:p>
    <w:p w14:paraId="24A70493" w14:textId="128A4A61" w:rsidR="00702E94" w:rsidRPr="00512C52" w:rsidRDefault="00702E94" w:rsidP="00702E94">
      <w:pPr>
        <w:spacing w:beforeLines="50" w:before="156" w:line="360" w:lineRule="auto"/>
        <w:jc w:val="center"/>
        <w:rPr>
          <w:rFonts w:ascii="Times New Roman" w:hAnsi="Times New Roman" w:cs="Times New Roman"/>
          <w:sz w:val="24"/>
          <w:szCs w:val="24"/>
        </w:rPr>
      </w:pPr>
      <w:r>
        <w:rPr>
          <w:noProof/>
        </w:rPr>
        <w:lastRenderedPageBreak/>
        <w:drawing>
          <wp:inline distT="0" distB="0" distL="0" distR="0" wp14:anchorId="5E541B0A" wp14:editId="0F3B0B4C">
            <wp:extent cx="4319330" cy="2734814"/>
            <wp:effectExtent l="0" t="0" r="508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547" cy="2745715"/>
                    </a:xfrm>
                    <a:prstGeom prst="rect">
                      <a:avLst/>
                    </a:prstGeom>
                  </pic:spPr>
                </pic:pic>
              </a:graphicData>
            </a:graphic>
          </wp:inline>
        </w:drawing>
      </w:r>
    </w:p>
    <w:p w14:paraId="3A5DC0A3" w14:textId="176CF146" w:rsidR="00CA1C63" w:rsidRPr="00512C52" w:rsidRDefault="00FE25AE"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To better see the difference between market option price and estimated price, we </w:t>
      </w:r>
      <w:r w:rsidR="00D574C3" w:rsidRPr="00512C52">
        <w:rPr>
          <w:rFonts w:ascii="Times New Roman" w:hAnsi="Times New Roman" w:cs="Times New Roman"/>
          <w:sz w:val="24"/>
          <w:szCs w:val="24"/>
        </w:rPr>
        <w:t>calculated</w:t>
      </w:r>
      <w:r w:rsidRPr="00512C52">
        <w:rPr>
          <w:rFonts w:ascii="Times New Roman" w:hAnsi="Times New Roman" w:cs="Times New Roman"/>
          <w:sz w:val="24"/>
          <w:szCs w:val="24"/>
        </w:rPr>
        <w:t xml:space="preserve"> the </w:t>
      </w:r>
      <w:r w:rsidR="007326F0" w:rsidRPr="00512C52">
        <w:rPr>
          <w:rFonts w:ascii="Times New Roman" w:hAnsi="Times New Roman" w:cs="Times New Roman"/>
          <w:sz w:val="24"/>
          <w:szCs w:val="24"/>
        </w:rPr>
        <w:t>number of overestimate and underestimate</w:t>
      </w:r>
      <w:r w:rsidRPr="00512C52">
        <w:rPr>
          <w:rFonts w:ascii="Times New Roman" w:hAnsi="Times New Roman" w:cs="Times New Roman"/>
          <w:sz w:val="24"/>
          <w:szCs w:val="24"/>
        </w:rPr>
        <w:t xml:space="preserve"> of option price </w:t>
      </w:r>
      <w:r w:rsidR="00D574C3" w:rsidRPr="00512C52">
        <w:rPr>
          <w:rFonts w:ascii="Times New Roman" w:hAnsi="Times New Roman" w:cs="Times New Roman"/>
          <w:sz w:val="24"/>
          <w:szCs w:val="24"/>
        </w:rPr>
        <w:t xml:space="preserve">for each trade record </w:t>
      </w:r>
      <w:r w:rsidRPr="00512C52">
        <w:rPr>
          <w:rFonts w:ascii="Times New Roman" w:hAnsi="Times New Roman" w:cs="Times New Roman"/>
          <w:sz w:val="24"/>
          <w:szCs w:val="24"/>
        </w:rPr>
        <w:t>using yearly, monthly and weekly volatilities as below</w:t>
      </w:r>
      <w:r w:rsidR="007326F0" w:rsidRPr="00512C52">
        <w:rPr>
          <w:rFonts w:ascii="Times New Roman" w:hAnsi="Times New Roman" w:cs="Times New Roman"/>
          <w:sz w:val="24"/>
          <w:szCs w:val="24"/>
        </w:rPr>
        <w:t xml:space="preserve"> (total 20211 records)</w:t>
      </w:r>
      <w:r w:rsidRPr="00512C52">
        <w:rPr>
          <w:rFonts w:ascii="Times New Roman" w:hAnsi="Times New Roman" w:cs="Times New Roman"/>
          <w:sz w:val="24"/>
          <w:szCs w:val="24"/>
        </w:rPr>
        <w:t>:</w:t>
      </w:r>
    </w:p>
    <w:p w14:paraId="54C2CC59" w14:textId="4A411906" w:rsidR="007326F0" w:rsidRPr="002C4DAC" w:rsidRDefault="007326F0" w:rsidP="004E63C0">
      <w:pPr>
        <w:spacing w:beforeLines="50" w:before="156" w:line="360" w:lineRule="auto"/>
        <w:rPr>
          <w:rFonts w:ascii="Times New Roman" w:hAnsi="Times New Roman" w:cs="Times New Roman"/>
          <w:b/>
          <w:sz w:val="24"/>
          <w:szCs w:val="24"/>
        </w:rPr>
      </w:pPr>
      <w:r w:rsidRPr="002C4DAC">
        <w:rPr>
          <w:rFonts w:ascii="Times New Roman" w:hAnsi="Times New Roman" w:cs="Times New Roman"/>
          <w:b/>
          <w:sz w:val="24"/>
          <w:szCs w:val="24"/>
        </w:rPr>
        <w:t>Table 2.2</w:t>
      </w:r>
    </w:p>
    <w:tbl>
      <w:tblPr>
        <w:tblW w:w="10960" w:type="dxa"/>
        <w:jc w:val="center"/>
        <w:tblLook w:val="04A0" w:firstRow="1" w:lastRow="0" w:firstColumn="1" w:lastColumn="0" w:noHBand="0" w:noVBand="1"/>
      </w:tblPr>
      <w:tblGrid>
        <w:gridCol w:w="1597"/>
        <w:gridCol w:w="992"/>
        <w:gridCol w:w="1137"/>
        <w:gridCol w:w="992"/>
        <w:gridCol w:w="992"/>
        <w:gridCol w:w="1137"/>
        <w:gridCol w:w="992"/>
        <w:gridCol w:w="992"/>
        <w:gridCol w:w="1137"/>
        <w:gridCol w:w="992"/>
      </w:tblGrid>
      <w:tr w:rsidR="007326F0" w:rsidRPr="007326F0" w14:paraId="314B13FE" w14:textId="77777777" w:rsidTr="007326F0">
        <w:trPr>
          <w:trHeight w:val="600"/>
          <w:jc w:val="center"/>
        </w:trPr>
        <w:tc>
          <w:tcPr>
            <w:tcW w:w="1597" w:type="dxa"/>
            <w:tcBorders>
              <w:top w:val="single" w:sz="4" w:space="0" w:color="auto"/>
              <w:left w:val="nil"/>
              <w:bottom w:val="nil"/>
              <w:right w:val="nil"/>
            </w:tcBorders>
            <w:shd w:val="clear" w:color="auto" w:fill="auto"/>
            <w:noWrap/>
            <w:vAlign w:val="center"/>
            <w:hideMark/>
          </w:tcPr>
          <w:p w14:paraId="1B9D0C52"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 xml:space="preserve">　</w:t>
            </w:r>
          </w:p>
        </w:tc>
        <w:tc>
          <w:tcPr>
            <w:tcW w:w="3121" w:type="dxa"/>
            <w:gridSpan w:val="3"/>
            <w:tcBorders>
              <w:top w:val="single" w:sz="4" w:space="0" w:color="auto"/>
              <w:left w:val="nil"/>
              <w:bottom w:val="nil"/>
              <w:right w:val="nil"/>
            </w:tcBorders>
            <w:shd w:val="clear" w:color="auto" w:fill="auto"/>
            <w:noWrap/>
            <w:vAlign w:val="center"/>
            <w:hideMark/>
          </w:tcPr>
          <w:p w14:paraId="72EE572A"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Threshold 10%</w:t>
            </w:r>
          </w:p>
        </w:tc>
        <w:tc>
          <w:tcPr>
            <w:tcW w:w="3121" w:type="dxa"/>
            <w:gridSpan w:val="3"/>
            <w:tcBorders>
              <w:top w:val="single" w:sz="4" w:space="0" w:color="auto"/>
              <w:left w:val="nil"/>
              <w:bottom w:val="nil"/>
              <w:right w:val="nil"/>
            </w:tcBorders>
            <w:shd w:val="clear" w:color="auto" w:fill="auto"/>
            <w:noWrap/>
            <w:vAlign w:val="center"/>
            <w:hideMark/>
          </w:tcPr>
          <w:p w14:paraId="3C92DAFF"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Threshold 5%</w:t>
            </w:r>
          </w:p>
        </w:tc>
        <w:tc>
          <w:tcPr>
            <w:tcW w:w="3121" w:type="dxa"/>
            <w:gridSpan w:val="3"/>
            <w:tcBorders>
              <w:top w:val="single" w:sz="4" w:space="0" w:color="auto"/>
              <w:left w:val="nil"/>
              <w:bottom w:val="nil"/>
              <w:right w:val="nil"/>
            </w:tcBorders>
            <w:shd w:val="clear" w:color="auto" w:fill="auto"/>
            <w:noWrap/>
            <w:vAlign w:val="center"/>
            <w:hideMark/>
          </w:tcPr>
          <w:p w14:paraId="68E84279"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Threshold 1%</w:t>
            </w:r>
          </w:p>
        </w:tc>
      </w:tr>
      <w:tr w:rsidR="007326F0" w:rsidRPr="007326F0" w14:paraId="60D580B1" w14:textId="77777777" w:rsidTr="007326F0">
        <w:trPr>
          <w:trHeight w:val="310"/>
          <w:jc w:val="center"/>
        </w:trPr>
        <w:tc>
          <w:tcPr>
            <w:tcW w:w="1597" w:type="dxa"/>
            <w:tcBorders>
              <w:top w:val="nil"/>
              <w:left w:val="nil"/>
              <w:bottom w:val="single" w:sz="4" w:space="0" w:color="auto"/>
              <w:right w:val="nil"/>
            </w:tcBorders>
            <w:shd w:val="clear" w:color="auto" w:fill="auto"/>
            <w:noWrap/>
            <w:vAlign w:val="center"/>
            <w:hideMark/>
          </w:tcPr>
          <w:p w14:paraId="284AD0AA"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 xml:space="preserve">　</w:t>
            </w:r>
          </w:p>
        </w:tc>
        <w:tc>
          <w:tcPr>
            <w:tcW w:w="992" w:type="dxa"/>
            <w:tcBorders>
              <w:top w:val="nil"/>
              <w:left w:val="nil"/>
              <w:bottom w:val="single" w:sz="4" w:space="0" w:color="auto"/>
              <w:right w:val="nil"/>
            </w:tcBorders>
            <w:shd w:val="clear" w:color="auto" w:fill="auto"/>
            <w:noWrap/>
            <w:vAlign w:val="center"/>
            <w:hideMark/>
          </w:tcPr>
          <w:p w14:paraId="5933D7FB"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yearly</w:t>
            </w:r>
          </w:p>
        </w:tc>
        <w:tc>
          <w:tcPr>
            <w:tcW w:w="1137" w:type="dxa"/>
            <w:tcBorders>
              <w:top w:val="nil"/>
              <w:left w:val="nil"/>
              <w:bottom w:val="single" w:sz="4" w:space="0" w:color="auto"/>
              <w:right w:val="nil"/>
            </w:tcBorders>
            <w:shd w:val="clear" w:color="auto" w:fill="auto"/>
            <w:noWrap/>
            <w:vAlign w:val="center"/>
            <w:hideMark/>
          </w:tcPr>
          <w:p w14:paraId="34F1AA4D"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monthly</w:t>
            </w:r>
          </w:p>
        </w:tc>
        <w:tc>
          <w:tcPr>
            <w:tcW w:w="992" w:type="dxa"/>
            <w:tcBorders>
              <w:top w:val="nil"/>
              <w:left w:val="nil"/>
              <w:bottom w:val="single" w:sz="4" w:space="0" w:color="auto"/>
              <w:right w:val="nil"/>
            </w:tcBorders>
            <w:shd w:val="clear" w:color="auto" w:fill="auto"/>
            <w:noWrap/>
            <w:vAlign w:val="center"/>
            <w:hideMark/>
          </w:tcPr>
          <w:p w14:paraId="361F17F3"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weekly</w:t>
            </w:r>
          </w:p>
        </w:tc>
        <w:tc>
          <w:tcPr>
            <w:tcW w:w="992" w:type="dxa"/>
            <w:tcBorders>
              <w:top w:val="nil"/>
              <w:left w:val="nil"/>
              <w:bottom w:val="single" w:sz="4" w:space="0" w:color="auto"/>
              <w:right w:val="nil"/>
            </w:tcBorders>
            <w:shd w:val="clear" w:color="auto" w:fill="auto"/>
            <w:noWrap/>
            <w:vAlign w:val="center"/>
            <w:hideMark/>
          </w:tcPr>
          <w:p w14:paraId="61E6A628"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yearly</w:t>
            </w:r>
          </w:p>
        </w:tc>
        <w:tc>
          <w:tcPr>
            <w:tcW w:w="1137" w:type="dxa"/>
            <w:tcBorders>
              <w:top w:val="nil"/>
              <w:left w:val="nil"/>
              <w:bottom w:val="single" w:sz="4" w:space="0" w:color="auto"/>
              <w:right w:val="nil"/>
            </w:tcBorders>
            <w:shd w:val="clear" w:color="auto" w:fill="auto"/>
            <w:noWrap/>
            <w:vAlign w:val="center"/>
            <w:hideMark/>
          </w:tcPr>
          <w:p w14:paraId="68814769"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monthly</w:t>
            </w:r>
          </w:p>
        </w:tc>
        <w:tc>
          <w:tcPr>
            <w:tcW w:w="992" w:type="dxa"/>
            <w:tcBorders>
              <w:top w:val="nil"/>
              <w:left w:val="nil"/>
              <w:bottom w:val="single" w:sz="4" w:space="0" w:color="auto"/>
              <w:right w:val="nil"/>
            </w:tcBorders>
            <w:shd w:val="clear" w:color="auto" w:fill="auto"/>
            <w:noWrap/>
            <w:vAlign w:val="center"/>
            <w:hideMark/>
          </w:tcPr>
          <w:p w14:paraId="429D8327"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weekly</w:t>
            </w:r>
          </w:p>
        </w:tc>
        <w:tc>
          <w:tcPr>
            <w:tcW w:w="992" w:type="dxa"/>
            <w:tcBorders>
              <w:top w:val="nil"/>
              <w:left w:val="nil"/>
              <w:bottom w:val="single" w:sz="4" w:space="0" w:color="auto"/>
              <w:right w:val="nil"/>
            </w:tcBorders>
            <w:shd w:val="clear" w:color="auto" w:fill="auto"/>
            <w:noWrap/>
            <w:vAlign w:val="center"/>
            <w:hideMark/>
          </w:tcPr>
          <w:p w14:paraId="2FBD3A3F"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yearly</w:t>
            </w:r>
          </w:p>
        </w:tc>
        <w:tc>
          <w:tcPr>
            <w:tcW w:w="1137" w:type="dxa"/>
            <w:tcBorders>
              <w:top w:val="nil"/>
              <w:left w:val="nil"/>
              <w:bottom w:val="single" w:sz="4" w:space="0" w:color="auto"/>
              <w:right w:val="nil"/>
            </w:tcBorders>
            <w:shd w:val="clear" w:color="auto" w:fill="auto"/>
            <w:noWrap/>
            <w:vAlign w:val="center"/>
            <w:hideMark/>
          </w:tcPr>
          <w:p w14:paraId="09705CE1"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monthly</w:t>
            </w:r>
          </w:p>
        </w:tc>
        <w:tc>
          <w:tcPr>
            <w:tcW w:w="992" w:type="dxa"/>
            <w:tcBorders>
              <w:top w:val="nil"/>
              <w:left w:val="nil"/>
              <w:bottom w:val="single" w:sz="4" w:space="0" w:color="auto"/>
              <w:right w:val="nil"/>
            </w:tcBorders>
            <w:shd w:val="clear" w:color="auto" w:fill="auto"/>
            <w:noWrap/>
            <w:vAlign w:val="center"/>
            <w:hideMark/>
          </w:tcPr>
          <w:p w14:paraId="36A7DCFC"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weekly</w:t>
            </w:r>
          </w:p>
        </w:tc>
      </w:tr>
      <w:tr w:rsidR="007326F0" w:rsidRPr="007326F0" w14:paraId="41E551BB" w14:textId="77777777" w:rsidTr="007326F0">
        <w:trPr>
          <w:trHeight w:val="310"/>
          <w:jc w:val="center"/>
        </w:trPr>
        <w:tc>
          <w:tcPr>
            <w:tcW w:w="1597" w:type="dxa"/>
            <w:tcBorders>
              <w:top w:val="nil"/>
              <w:left w:val="nil"/>
              <w:bottom w:val="nil"/>
              <w:right w:val="nil"/>
            </w:tcBorders>
            <w:shd w:val="clear" w:color="auto" w:fill="auto"/>
            <w:vAlign w:val="center"/>
            <w:hideMark/>
          </w:tcPr>
          <w:p w14:paraId="79B6FBA3" w14:textId="0D20DF28"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Overestimate</w:t>
            </w:r>
            <w:r w:rsidR="00CA1C63" w:rsidRPr="00512C52">
              <w:rPr>
                <w:rFonts w:ascii="Times New Roman" w:eastAsia="DengXian" w:hAnsi="Times New Roman" w:cs="Times New Roman"/>
                <w:b/>
                <w:bCs/>
                <w:color w:val="000000"/>
                <w:kern w:val="0"/>
                <w:sz w:val="22"/>
              </w:rPr>
              <w:t xml:space="preserve"> number</w:t>
            </w:r>
          </w:p>
        </w:tc>
        <w:tc>
          <w:tcPr>
            <w:tcW w:w="992" w:type="dxa"/>
            <w:tcBorders>
              <w:top w:val="nil"/>
              <w:left w:val="nil"/>
              <w:bottom w:val="nil"/>
              <w:right w:val="nil"/>
            </w:tcBorders>
            <w:shd w:val="clear" w:color="auto" w:fill="auto"/>
            <w:noWrap/>
            <w:vAlign w:val="center"/>
            <w:hideMark/>
          </w:tcPr>
          <w:p w14:paraId="7BE08749"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244</w:t>
            </w:r>
          </w:p>
        </w:tc>
        <w:tc>
          <w:tcPr>
            <w:tcW w:w="1137" w:type="dxa"/>
            <w:tcBorders>
              <w:top w:val="nil"/>
              <w:left w:val="nil"/>
              <w:bottom w:val="nil"/>
              <w:right w:val="nil"/>
            </w:tcBorders>
            <w:shd w:val="clear" w:color="auto" w:fill="auto"/>
            <w:noWrap/>
            <w:vAlign w:val="center"/>
            <w:hideMark/>
          </w:tcPr>
          <w:p w14:paraId="6FB2EB1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33</w:t>
            </w:r>
          </w:p>
        </w:tc>
        <w:tc>
          <w:tcPr>
            <w:tcW w:w="992" w:type="dxa"/>
            <w:tcBorders>
              <w:top w:val="nil"/>
              <w:left w:val="nil"/>
              <w:bottom w:val="nil"/>
              <w:right w:val="nil"/>
            </w:tcBorders>
            <w:shd w:val="clear" w:color="auto" w:fill="auto"/>
            <w:noWrap/>
            <w:vAlign w:val="center"/>
            <w:hideMark/>
          </w:tcPr>
          <w:p w14:paraId="3DF196AA"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w:t>
            </w:r>
          </w:p>
        </w:tc>
        <w:tc>
          <w:tcPr>
            <w:tcW w:w="992" w:type="dxa"/>
            <w:tcBorders>
              <w:top w:val="nil"/>
              <w:left w:val="nil"/>
              <w:bottom w:val="nil"/>
              <w:right w:val="nil"/>
            </w:tcBorders>
            <w:shd w:val="clear" w:color="auto" w:fill="auto"/>
            <w:noWrap/>
            <w:vAlign w:val="center"/>
            <w:hideMark/>
          </w:tcPr>
          <w:p w14:paraId="782DD258"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499</w:t>
            </w:r>
          </w:p>
        </w:tc>
        <w:tc>
          <w:tcPr>
            <w:tcW w:w="1137" w:type="dxa"/>
            <w:tcBorders>
              <w:top w:val="nil"/>
              <w:left w:val="nil"/>
              <w:bottom w:val="nil"/>
              <w:right w:val="nil"/>
            </w:tcBorders>
            <w:shd w:val="clear" w:color="auto" w:fill="auto"/>
            <w:noWrap/>
            <w:vAlign w:val="center"/>
            <w:hideMark/>
          </w:tcPr>
          <w:p w14:paraId="10EB6AF7"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67</w:t>
            </w:r>
          </w:p>
        </w:tc>
        <w:tc>
          <w:tcPr>
            <w:tcW w:w="992" w:type="dxa"/>
            <w:tcBorders>
              <w:top w:val="nil"/>
              <w:left w:val="nil"/>
              <w:bottom w:val="nil"/>
              <w:right w:val="nil"/>
            </w:tcBorders>
            <w:shd w:val="clear" w:color="auto" w:fill="auto"/>
            <w:noWrap/>
            <w:vAlign w:val="center"/>
            <w:hideMark/>
          </w:tcPr>
          <w:p w14:paraId="327335E9"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w:t>
            </w:r>
          </w:p>
        </w:tc>
        <w:tc>
          <w:tcPr>
            <w:tcW w:w="992" w:type="dxa"/>
            <w:tcBorders>
              <w:top w:val="nil"/>
              <w:left w:val="nil"/>
              <w:bottom w:val="nil"/>
              <w:right w:val="nil"/>
            </w:tcBorders>
            <w:shd w:val="clear" w:color="auto" w:fill="auto"/>
            <w:noWrap/>
            <w:vAlign w:val="center"/>
            <w:hideMark/>
          </w:tcPr>
          <w:p w14:paraId="08E7FD9F"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1067</w:t>
            </w:r>
          </w:p>
        </w:tc>
        <w:tc>
          <w:tcPr>
            <w:tcW w:w="1137" w:type="dxa"/>
            <w:tcBorders>
              <w:top w:val="nil"/>
              <w:left w:val="nil"/>
              <w:bottom w:val="nil"/>
              <w:right w:val="nil"/>
            </w:tcBorders>
            <w:shd w:val="clear" w:color="auto" w:fill="auto"/>
            <w:noWrap/>
            <w:vAlign w:val="center"/>
            <w:hideMark/>
          </w:tcPr>
          <w:p w14:paraId="46F9654C"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277</w:t>
            </w:r>
          </w:p>
        </w:tc>
        <w:tc>
          <w:tcPr>
            <w:tcW w:w="992" w:type="dxa"/>
            <w:tcBorders>
              <w:top w:val="nil"/>
              <w:left w:val="nil"/>
              <w:bottom w:val="nil"/>
              <w:right w:val="nil"/>
            </w:tcBorders>
            <w:shd w:val="clear" w:color="auto" w:fill="auto"/>
            <w:noWrap/>
            <w:vAlign w:val="center"/>
            <w:hideMark/>
          </w:tcPr>
          <w:p w14:paraId="68AFF8B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w:t>
            </w:r>
          </w:p>
        </w:tc>
      </w:tr>
      <w:tr w:rsidR="007326F0" w:rsidRPr="007326F0" w14:paraId="162593B8" w14:textId="77777777" w:rsidTr="007326F0">
        <w:trPr>
          <w:trHeight w:val="560"/>
          <w:jc w:val="center"/>
        </w:trPr>
        <w:tc>
          <w:tcPr>
            <w:tcW w:w="1597" w:type="dxa"/>
            <w:tcBorders>
              <w:top w:val="nil"/>
              <w:left w:val="nil"/>
              <w:bottom w:val="single" w:sz="4" w:space="0" w:color="auto"/>
              <w:right w:val="nil"/>
            </w:tcBorders>
            <w:shd w:val="clear" w:color="auto" w:fill="auto"/>
            <w:vAlign w:val="center"/>
            <w:hideMark/>
          </w:tcPr>
          <w:p w14:paraId="157D5731"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Overestimate percentage</w:t>
            </w:r>
          </w:p>
        </w:tc>
        <w:tc>
          <w:tcPr>
            <w:tcW w:w="992" w:type="dxa"/>
            <w:tcBorders>
              <w:top w:val="nil"/>
              <w:left w:val="nil"/>
              <w:bottom w:val="single" w:sz="4" w:space="0" w:color="auto"/>
              <w:right w:val="nil"/>
            </w:tcBorders>
            <w:shd w:val="clear" w:color="auto" w:fill="auto"/>
            <w:noWrap/>
            <w:vAlign w:val="center"/>
            <w:hideMark/>
          </w:tcPr>
          <w:p w14:paraId="0486A7A1"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1.21%</w:t>
            </w:r>
          </w:p>
        </w:tc>
        <w:tc>
          <w:tcPr>
            <w:tcW w:w="1137" w:type="dxa"/>
            <w:tcBorders>
              <w:top w:val="nil"/>
              <w:left w:val="nil"/>
              <w:bottom w:val="single" w:sz="4" w:space="0" w:color="auto"/>
              <w:right w:val="nil"/>
            </w:tcBorders>
            <w:shd w:val="clear" w:color="auto" w:fill="auto"/>
            <w:noWrap/>
            <w:vAlign w:val="center"/>
            <w:hideMark/>
          </w:tcPr>
          <w:p w14:paraId="3CD98123"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0.16%</w:t>
            </w:r>
          </w:p>
        </w:tc>
        <w:tc>
          <w:tcPr>
            <w:tcW w:w="992" w:type="dxa"/>
            <w:tcBorders>
              <w:top w:val="nil"/>
              <w:left w:val="nil"/>
              <w:bottom w:val="single" w:sz="4" w:space="0" w:color="auto"/>
              <w:right w:val="nil"/>
            </w:tcBorders>
            <w:shd w:val="clear" w:color="auto" w:fill="auto"/>
            <w:noWrap/>
            <w:vAlign w:val="center"/>
            <w:hideMark/>
          </w:tcPr>
          <w:p w14:paraId="7F3BF7A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0.00%</w:t>
            </w:r>
          </w:p>
        </w:tc>
        <w:tc>
          <w:tcPr>
            <w:tcW w:w="992" w:type="dxa"/>
            <w:tcBorders>
              <w:top w:val="nil"/>
              <w:left w:val="nil"/>
              <w:bottom w:val="single" w:sz="4" w:space="0" w:color="auto"/>
              <w:right w:val="nil"/>
            </w:tcBorders>
            <w:shd w:val="clear" w:color="auto" w:fill="auto"/>
            <w:noWrap/>
            <w:vAlign w:val="center"/>
            <w:hideMark/>
          </w:tcPr>
          <w:p w14:paraId="3A9896A3"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2.47%</w:t>
            </w:r>
          </w:p>
        </w:tc>
        <w:tc>
          <w:tcPr>
            <w:tcW w:w="1137" w:type="dxa"/>
            <w:tcBorders>
              <w:top w:val="nil"/>
              <w:left w:val="nil"/>
              <w:bottom w:val="single" w:sz="4" w:space="0" w:color="auto"/>
              <w:right w:val="nil"/>
            </w:tcBorders>
            <w:shd w:val="clear" w:color="auto" w:fill="auto"/>
            <w:noWrap/>
            <w:vAlign w:val="center"/>
            <w:hideMark/>
          </w:tcPr>
          <w:p w14:paraId="0AD7C475"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0.33%</w:t>
            </w:r>
          </w:p>
        </w:tc>
        <w:tc>
          <w:tcPr>
            <w:tcW w:w="992" w:type="dxa"/>
            <w:tcBorders>
              <w:top w:val="nil"/>
              <w:left w:val="nil"/>
              <w:bottom w:val="single" w:sz="4" w:space="0" w:color="auto"/>
              <w:right w:val="nil"/>
            </w:tcBorders>
            <w:shd w:val="clear" w:color="auto" w:fill="auto"/>
            <w:noWrap/>
            <w:vAlign w:val="center"/>
            <w:hideMark/>
          </w:tcPr>
          <w:p w14:paraId="12987CCC"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0.00%</w:t>
            </w:r>
          </w:p>
        </w:tc>
        <w:tc>
          <w:tcPr>
            <w:tcW w:w="992" w:type="dxa"/>
            <w:tcBorders>
              <w:top w:val="nil"/>
              <w:left w:val="nil"/>
              <w:bottom w:val="single" w:sz="4" w:space="0" w:color="auto"/>
              <w:right w:val="nil"/>
            </w:tcBorders>
            <w:shd w:val="clear" w:color="auto" w:fill="auto"/>
            <w:noWrap/>
            <w:vAlign w:val="center"/>
            <w:hideMark/>
          </w:tcPr>
          <w:p w14:paraId="7EF84BBD"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5.28%</w:t>
            </w:r>
          </w:p>
        </w:tc>
        <w:tc>
          <w:tcPr>
            <w:tcW w:w="1137" w:type="dxa"/>
            <w:tcBorders>
              <w:top w:val="nil"/>
              <w:left w:val="nil"/>
              <w:bottom w:val="single" w:sz="4" w:space="0" w:color="auto"/>
              <w:right w:val="nil"/>
            </w:tcBorders>
            <w:shd w:val="clear" w:color="auto" w:fill="auto"/>
            <w:noWrap/>
            <w:vAlign w:val="center"/>
            <w:hideMark/>
          </w:tcPr>
          <w:p w14:paraId="167E8341"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1.37%</w:t>
            </w:r>
          </w:p>
        </w:tc>
        <w:tc>
          <w:tcPr>
            <w:tcW w:w="992" w:type="dxa"/>
            <w:tcBorders>
              <w:top w:val="nil"/>
              <w:left w:val="nil"/>
              <w:bottom w:val="single" w:sz="4" w:space="0" w:color="auto"/>
              <w:right w:val="nil"/>
            </w:tcBorders>
            <w:shd w:val="clear" w:color="auto" w:fill="auto"/>
            <w:noWrap/>
            <w:vAlign w:val="center"/>
            <w:hideMark/>
          </w:tcPr>
          <w:p w14:paraId="0E7E162E"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0.00%</w:t>
            </w:r>
          </w:p>
        </w:tc>
      </w:tr>
      <w:tr w:rsidR="007326F0" w:rsidRPr="007326F0" w14:paraId="387F3CC4" w14:textId="77777777" w:rsidTr="007326F0">
        <w:trPr>
          <w:trHeight w:val="280"/>
          <w:jc w:val="center"/>
        </w:trPr>
        <w:tc>
          <w:tcPr>
            <w:tcW w:w="1597" w:type="dxa"/>
            <w:tcBorders>
              <w:top w:val="nil"/>
              <w:left w:val="nil"/>
              <w:bottom w:val="nil"/>
              <w:right w:val="nil"/>
            </w:tcBorders>
            <w:shd w:val="clear" w:color="auto" w:fill="auto"/>
            <w:vAlign w:val="center"/>
            <w:hideMark/>
          </w:tcPr>
          <w:p w14:paraId="3AA0A561" w14:textId="4E9657E2"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Underestimate</w:t>
            </w:r>
            <w:r w:rsidR="00CA1C63" w:rsidRPr="00512C52">
              <w:rPr>
                <w:rFonts w:ascii="Times New Roman" w:eastAsia="DengXian" w:hAnsi="Times New Roman" w:cs="Times New Roman"/>
                <w:b/>
                <w:bCs/>
                <w:color w:val="000000"/>
                <w:kern w:val="0"/>
                <w:sz w:val="22"/>
              </w:rPr>
              <w:t xml:space="preserve"> number</w:t>
            </w:r>
          </w:p>
        </w:tc>
        <w:tc>
          <w:tcPr>
            <w:tcW w:w="992" w:type="dxa"/>
            <w:tcBorders>
              <w:top w:val="nil"/>
              <w:left w:val="nil"/>
              <w:bottom w:val="nil"/>
              <w:right w:val="nil"/>
            </w:tcBorders>
            <w:shd w:val="clear" w:color="auto" w:fill="auto"/>
            <w:noWrap/>
            <w:vAlign w:val="center"/>
            <w:hideMark/>
          </w:tcPr>
          <w:p w14:paraId="3FF5422B"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14831</w:t>
            </w:r>
          </w:p>
        </w:tc>
        <w:tc>
          <w:tcPr>
            <w:tcW w:w="1137" w:type="dxa"/>
            <w:tcBorders>
              <w:top w:val="nil"/>
              <w:left w:val="nil"/>
              <w:bottom w:val="nil"/>
              <w:right w:val="nil"/>
            </w:tcBorders>
            <w:shd w:val="clear" w:color="auto" w:fill="auto"/>
            <w:noWrap/>
            <w:vAlign w:val="center"/>
            <w:hideMark/>
          </w:tcPr>
          <w:p w14:paraId="3EF853D9"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16474</w:t>
            </w:r>
          </w:p>
        </w:tc>
        <w:tc>
          <w:tcPr>
            <w:tcW w:w="992" w:type="dxa"/>
            <w:tcBorders>
              <w:top w:val="nil"/>
              <w:left w:val="nil"/>
              <w:bottom w:val="nil"/>
              <w:right w:val="nil"/>
            </w:tcBorders>
            <w:shd w:val="clear" w:color="auto" w:fill="auto"/>
            <w:noWrap/>
            <w:vAlign w:val="center"/>
            <w:hideMark/>
          </w:tcPr>
          <w:p w14:paraId="57B578B5"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19564</w:t>
            </w:r>
          </w:p>
        </w:tc>
        <w:tc>
          <w:tcPr>
            <w:tcW w:w="992" w:type="dxa"/>
            <w:tcBorders>
              <w:top w:val="nil"/>
              <w:left w:val="nil"/>
              <w:bottom w:val="nil"/>
              <w:right w:val="nil"/>
            </w:tcBorders>
            <w:shd w:val="clear" w:color="auto" w:fill="auto"/>
            <w:noWrap/>
            <w:vAlign w:val="center"/>
            <w:hideMark/>
          </w:tcPr>
          <w:p w14:paraId="67E49F87"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17102</w:t>
            </w:r>
          </w:p>
        </w:tc>
        <w:tc>
          <w:tcPr>
            <w:tcW w:w="1137" w:type="dxa"/>
            <w:tcBorders>
              <w:top w:val="nil"/>
              <w:left w:val="nil"/>
              <w:bottom w:val="nil"/>
              <w:right w:val="nil"/>
            </w:tcBorders>
            <w:shd w:val="clear" w:color="auto" w:fill="auto"/>
            <w:noWrap/>
            <w:vAlign w:val="center"/>
            <w:hideMark/>
          </w:tcPr>
          <w:p w14:paraId="48C8EDD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18529</w:t>
            </w:r>
          </w:p>
        </w:tc>
        <w:tc>
          <w:tcPr>
            <w:tcW w:w="992" w:type="dxa"/>
            <w:tcBorders>
              <w:top w:val="nil"/>
              <w:left w:val="nil"/>
              <w:bottom w:val="nil"/>
              <w:right w:val="nil"/>
            </w:tcBorders>
            <w:shd w:val="clear" w:color="auto" w:fill="auto"/>
            <w:noWrap/>
            <w:vAlign w:val="center"/>
            <w:hideMark/>
          </w:tcPr>
          <w:p w14:paraId="5F5904E1"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19780</w:t>
            </w:r>
          </w:p>
        </w:tc>
        <w:tc>
          <w:tcPr>
            <w:tcW w:w="992" w:type="dxa"/>
            <w:tcBorders>
              <w:top w:val="nil"/>
              <w:left w:val="nil"/>
              <w:bottom w:val="nil"/>
              <w:right w:val="nil"/>
            </w:tcBorders>
            <w:shd w:val="clear" w:color="auto" w:fill="auto"/>
            <w:noWrap/>
            <w:vAlign w:val="center"/>
            <w:hideMark/>
          </w:tcPr>
          <w:p w14:paraId="751D1948"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18628</w:t>
            </w:r>
          </w:p>
        </w:tc>
        <w:tc>
          <w:tcPr>
            <w:tcW w:w="1137" w:type="dxa"/>
            <w:tcBorders>
              <w:top w:val="nil"/>
              <w:left w:val="nil"/>
              <w:bottom w:val="nil"/>
              <w:right w:val="nil"/>
            </w:tcBorders>
            <w:shd w:val="clear" w:color="auto" w:fill="auto"/>
            <w:noWrap/>
            <w:vAlign w:val="center"/>
            <w:hideMark/>
          </w:tcPr>
          <w:p w14:paraId="785FCE6C"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19584</w:t>
            </w:r>
          </w:p>
        </w:tc>
        <w:tc>
          <w:tcPr>
            <w:tcW w:w="992" w:type="dxa"/>
            <w:tcBorders>
              <w:top w:val="nil"/>
              <w:left w:val="nil"/>
              <w:bottom w:val="nil"/>
              <w:right w:val="nil"/>
            </w:tcBorders>
            <w:shd w:val="clear" w:color="auto" w:fill="auto"/>
            <w:noWrap/>
            <w:vAlign w:val="center"/>
            <w:hideMark/>
          </w:tcPr>
          <w:p w14:paraId="0E7EFB6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20080</w:t>
            </w:r>
          </w:p>
        </w:tc>
      </w:tr>
      <w:tr w:rsidR="007326F0" w:rsidRPr="007326F0" w14:paraId="5DA46120" w14:textId="77777777" w:rsidTr="007326F0">
        <w:trPr>
          <w:trHeight w:val="560"/>
          <w:jc w:val="center"/>
        </w:trPr>
        <w:tc>
          <w:tcPr>
            <w:tcW w:w="1597" w:type="dxa"/>
            <w:tcBorders>
              <w:top w:val="nil"/>
              <w:left w:val="nil"/>
              <w:bottom w:val="single" w:sz="4" w:space="0" w:color="auto"/>
              <w:right w:val="nil"/>
            </w:tcBorders>
            <w:shd w:val="clear" w:color="auto" w:fill="auto"/>
            <w:vAlign w:val="center"/>
            <w:hideMark/>
          </w:tcPr>
          <w:p w14:paraId="044AF456" w14:textId="77777777" w:rsidR="007326F0" w:rsidRPr="007326F0" w:rsidRDefault="007326F0" w:rsidP="007326F0">
            <w:pPr>
              <w:widowControl/>
              <w:jc w:val="center"/>
              <w:rPr>
                <w:rFonts w:ascii="Times New Roman" w:eastAsia="DengXian" w:hAnsi="Times New Roman" w:cs="Times New Roman"/>
                <w:b/>
                <w:bCs/>
                <w:color w:val="000000"/>
                <w:kern w:val="0"/>
                <w:sz w:val="22"/>
              </w:rPr>
            </w:pPr>
            <w:r w:rsidRPr="007326F0">
              <w:rPr>
                <w:rFonts w:ascii="Times New Roman" w:eastAsia="DengXian" w:hAnsi="Times New Roman" w:cs="Times New Roman"/>
                <w:b/>
                <w:bCs/>
                <w:color w:val="000000"/>
                <w:kern w:val="0"/>
                <w:sz w:val="22"/>
              </w:rPr>
              <w:t>Underestimate percentage</w:t>
            </w:r>
          </w:p>
        </w:tc>
        <w:tc>
          <w:tcPr>
            <w:tcW w:w="992" w:type="dxa"/>
            <w:tcBorders>
              <w:top w:val="nil"/>
              <w:left w:val="nil"/>
              <w:bottom w:val="single" w:sz="4" w:space="0" w:color="auto"/>
              <w:right w:val="nil"/>
            </w:tcBorders>
            <w:shd w:val="clear" w:color="auto" w:fill="auto"/>
            <w:noWrap/>
            <w:vAlign w:val="center"/>
            <w:hideMark/>
          </w:tcPr>
          <w:p w14:paraId="4A8C4582"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73.38%</w:t>
            </w:r>
          </w:p>
        </w:tc>
        <w:tc>
          <w:tcPr>
            <w:tcW w:w="1137" w:type="dxa"/>
            <w:tcBorders>
              <w:top w:val="nil"/>
              <w:left w:val="nil"/>
              <w:bottom w:val="single" w:sz="4" w:space="0" w:color="auto"/>
              <w:right w:val="nil"/>
            </w:tcBorders>
            <w:shd w:val="clear" w:color="auto" w:fill="auto"/>
            <w:noWrap/>
            <w:vAlign w:val="center"/>
            <w:hideMark/>
          </w:tcPr>
          <w:p w14:paraId="025363E6"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81.51%</w:t>
            </w:r>
          </w:p>
        </w:tc>
        <w:tc>
          <w:tcPr>
            <w:tcW w:w="992" w:type="dxa"/>
            <w:tcBorders>
              <w:top w:val="nil"/>
              <w:left w:val="nil"/>
              <w:bottom w:val="single" w:sz="4" w:space="0" w:color="auto"/>
              <w:right w:val="nil"/>
            </w:tcBorders>
            <w:shd w:val="clear" w:color="auto" w:fill="auto"/>
            <w:noWrap/>
            <w:vAlign w:val="center"/>
            <w:hideMark/>
          </w:tcPr>
          <w:p w14:paraId="542C0F99"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96.80%</w:t>
            </w:r>
          </w:p>
        </w:tc>
        <w:tc>
          <w:tcPr>
            <w:tcW w:w="992" w:type="dxa"/>
            <w:tcBorders>
              <w:top w:val="nil"/>
              <w:left w:val="nil"/>
              <w:bottom w:val="single" w:sz="4" w:space="0" w:color="auto"/>
              <w:right w:val="nil"/>
            </w:tcBorders>
            <w:shd w:val="clear" w:color="auto" w:fill="auto"/>
            <w:noWrap/>
            <w:vAlign w:val="center"/>
            <w:hideMark/>
          </w:tcPr>
          <w:p w14:paraId="395F3E65"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84.62%</w:t>
            </w:r>
          </w:p>
        </w:tc>
        <w:tc>
          <w:tcPr>
            <w:tcW w:w="1137" w:type="dxa"/>
            <w:tcBorders>
              <w:top w:val="nil"/>
              <w:left w:val="nil"/>
              <w:bottom w:val="single" w:sz="4" w:space="0" w:color="auto"/>
              <w:right w:val="nil"/>
            </w:tcBorders>
            <w:shd w:val="clear" w:color="auto" w:fill="auto"/>
            <w:noWrap/>
            <w:vAlign w:val="center"/>
            <w:hideMark/>
          </w:tcPr>
          <w:p w14:paraId="15E9830F"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91.68%</w:t>
            </w:r>
          </w:p>
        </w:tc>
        <w:tc>
          <w:tcPr>
            <w:tcW w:w="992" w:type="dxa"/>
            <w:tcBorders>
              <w:top w:val="nil"/>
              <w:left w:val="nil"/>
              <w:bottom w:val="single" w:sz="4" w:space="0" w:color="auto"/>
              <w:right w:val="nil"/>
            </w:tcBorders>
            <w:shd w:val="clear" w:color="auto" w:fill="auto"/>
            <w:noWrap/>
            <w:vAlign w:val="center"/>
            <w:hideMark/>
          </w:tcPr>
          <w:p w14:paraId="3A558C2C"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97.87%</w:t>
            </w:r>
          </w:p>
        </w:tc>
        <w:tc>
          <w:tcPr>
            <w:tcW w:w="992" w:type="dxa"/>
            <w:tcBorders>
              <w:top w:val="nil"/>
              <w:left w:val="nil"/>
              <w:bottom w:val="single" w:sz="4" w:space="0" w:color="auto"/>
              <w:right w:val="nil"/>
            </w:tcBorders>
            <w:shd w:val="clear" w:color="auto" w:fill="auto"/>
            <w:noWrap/>
            <w:vAlign w:val="center"/>
            <w:hideMark/>
          </w:tcPr>
          <w:p w14:paraId="7EEF56E3"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92.17%</w:t>
            </w:r>
          </w:p>
        </w:tc>
        <w:tc>
          <w:tcPr>
            <w:tcW w:w="1137" w:type="dxa"/>
            <w:tcBorders>
              <w:top w:val="nil"/>
              <w:left w:val="nil"/>
              <w:bottom w:val="single" w:sz="4" w:space="0" w:color="auto"/>
              <w:right w:val="nil"/>
            </w:tcBorders>
            <w:shd w:val="clear" w:color="auto" w:fill="auto"/>
            <w:noWrap/>
            <w:vAlign w:val="center"/>
            <w:hideMark/>
          </w:tcPr>
          <w:p w14:paraId="3EE539AD"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96.90%</w:t>
            </w:r>
          </w:p>
        </w:tc>
        <w:tc>
          <w:tcPr>
            <w:tcW w:w="992" w:type="dxa"/>
            <w:tcBorders>
              <w:top w:val="nil"/>
              <w:left w:val="nil"/>
              <w:bottom w:val="single" w:sz="4" w:space="0" w:color="auto"/>
              <w:right w:val="nil"/>
            </w:tcBorders>
            <w:shd w:val="clear" w:color="auto" w:fill="auto"/>
            <w:noWrap/>
            <w:vAlign w:val="center"/>
            <w:hideMark/>
          </w:tcPr>
          <w:p w14:paraId="7AE27B62" w14:textId="77777777" w:rsidR="007326F0" w:rsidRPr="007326F0" w:rsidRDefault="007326F0" w:rsidP="007326F0">
            <w:pPr>
              <w:widowControl/>
              <w:jc w:val="center"/>
              <w:rPr>
                <w:rFonts w:ascii="Times New Roman" w:eastAsia="DengXian" w:hAnsi="Times New Roman" w:cs="Times New Roman"/>
                <w:color w:val="000000"/>
                <w:kern w:val="0"/>
                <w:sz w:val="22"/>
              </w:rPr>
            </w:pPr>
            <w:r w:rsidRPr="007326F0">
              <w:rPr>
                <w:rFonts w:ascii="Times New Roman" w:eastAsia="DengXian" w:hAnsi="Times New Roman" w:cs="Times New Roman"/>
                <w:color w:val="000000"/>
                <w:kern w:val="0"/>
                <w:sz w:val="22"/>
              </w:rPr>
              <w:t>99.35%</w:t>
            </w:r>
          </w:p>
        </w:tc>
      </w:tr>
    </w:tbl>
    <w:p w14:paraId="7B1C95F2" w14:textId="77777777" w:rsidR="002C4DAC" w:rsidRDefault="002C4DAC" w:rsidP="004E63C0">
      <w:pPr>
        <w:spacing w:beforeLines="50" w:before="156" w:line="360" w:lineRule="auto"/>
        <w:rPr>
          <w:rFonts w:ascii="Times New Roman" w:hAnsi="Times New Roman" w:cs="Times New Roman"/>
          <w:sz w:val="24"/>
          <w:szCs w:val="24"/>
        </w:rPr>
      </w:pPr>
    </w:p>
    <w:p w14:paraId="1A0FD14B" w14:textId="72C14262" w:rsidR="00636C6A" w:rsidRPr="00512C52" w:rsidRDefault="00FE25AE" w:rsidP="004E63C0">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We can see that all the three volatilities cannot give a very precise estimation of the real option price</w:t>
      </w:r>
      <w:r w:rsidR="007326F0" w:rsidRPr="00512C52">
        <w:rPr>
          <w:rFonts w:ascii="Times New Roman" w:hAnsi="Times New Roman" w:cs="Times New Roman"/>
          <w:sz w:val="24"/>
          <w:szCs w:val="24"/>
        </w:rPr>
        <w:t xml:space="preserve"> even at the 10% threshold</w:t>
      </w:r>
      <w:r w:rsidRPr="00512C52">
        <w:rPr>
          <w:rFonts w:ascii="Times New Roman" w:hAnsi="Times New Roman" w:cs="Times New Roman"/>
          <w:sz w:val="24"/>
          <w:szCs w:val="24"/>
        </w:rPr>
        <w:t xml:space="preserve">. </w:t>
      </w:r>
      <w:r w:rsidR="007326F0" w:rsidRPr="00512C52">
        <w:rPr>
          <w:rFonts w:ascii="Times New Roman" w:hAnsi="Times New Roman" w:cs="Times New Roman"/>
          <w:sz w:val="24"/>
          <w:szCs w:val="24"/>
        </w:rPr>
        <w:t>T</w:t>
      </w:r>
      <w:r w:rsidR="0021752A" w:rsidRPr="00512C52">
        <w:rPr>
          <w:rFonts w:ascii="Times New Roman" w:hAnsi="Times New Roman" w:cs="Times New Roman"/>
          <w:sz w:val="24"/>
          <w:szCs w:val="24"/>
        </w:rPr>
        <w:t>he historical volatilities</w:t>
      </w:r>
      <w:r w:rsidRPr="00512C52">
        <w:rPr>
          <w:rFonts w:ascii="Times New Roman" w:hAnsi="Times New Roman" w:cs="Times New Roman"/>
          <w:sz w:val="24"/>
          <w:szCs w:val="24"/>
        </w:rPr>
        <w:t xml:space="preserve"> mostly underestimated the market option price.</w:t>
      </w:r>
      <w:r w:rsidR="0021752A" w:rsidRPr="00512C52">
        <w:rPr>
          <w:rFonts w:ascii="Times New Roman" w:hAnsi="Times New Roman" w:cs="Times New Roman"/>
          <w:sz w:val="24"/>
          <w:szCs w:val="24"/>
        </w:rPr>
        <w:t xml:space="preserve"> Among the three results, the </w:t>
      </w:r>
      <w:r w:rsidR="007326F0" w:rsidRPr="00512C52">
        <w:rPr>
          <w:rFonts w:ascii="Times New Roman" w:hAnsi="Times New Roman" w:cs="Times New Roman"/>
          <w:sz w:val="24"/>
          <w:szCs w:val="24"/>
        </w:rPr>
        <w:t>yearly</w:t>
      </w:r>
      <w:r w:rsidR="0021752A" w:rsidRPr="00512C52">
        <w:rPr>
          <w:rFonts w:ascii="Times New Roman" w:hAnsi="Times New Roman" w:cs="Times New Roman"/>
          <w:sz w:val="24"/>
          <w:szCs w:val="24"/>
        </w:rPr>
        <w:t xml:space="preserve"> historical volatility is </w:t>
      </w:r>
      <w:r w:rsidR="00C545DA" w:rsidRPr="00512C52">
        <w:rPr>
          <w:rFonts w:ascii="Times New Roman" w:hAnsi="Times New Roman" w:cs="Times New Roman"/>
          <w:sz w:val="24"/>
          <w:szCs w:val="24"/>
        </w:rPr>
        <w:t xml:space="preserve">slightly </w:t>
      </w:r>
      <w:r w:rsidR="0021752A" w:rsidRPr="00512C52">
        <w:rPr>
          <w:rFonts w:ascii="Times New Roman" w:hAnsi="Times New Roman" w:cs="Times New Roman"/>
          <w:sz w:val="24"/>
          <w:szCs w:val="24"/>
        </w:rPr>
        <w:t>better than the other two.</w:t>
      </w:r>
    </w:p>
    <w:p w14:paraId="092BEF48" w14:textId="6FE5BFA7" w:rsidR="00D01A24" w:rsidRPr="00512C52" w:rsidRDefault="00D01A24" w:rsidP="00D01A24">
      <w:pPr>
        <w:pStyle w:val="Heading1"/>
        <w:numPr>
          <w:ilvl w:val="0"/>
          <w:numId w:val="1"/>
        </w:numPr>
        <w:rPr>
          <w:rFonts w:ascii="Times New Roman" w:hAnsi="Times New Roman" w:cs="Times New Roman"/>
        </w:rPr>
      </w:pPr>
      <w:bookmarkStart w:id="4" w:name="_Toc4302679"/>
      <w:r w:rsidRPr="00512C52">
        <w:rPr>
          <w:rFonts w:ascii="Times New Roman" w:hAnsi="Times New Roman" w:cs="Times New Roman"/>
        </w:rPr>
        <w:lastRenderedPageBreak/>
        <w:t>Calculate implied volatility based on Black-Scholes-Merton model</w:t>
      </w:r>
      <w:bookmarkEnd w:id="4"/>
    </w:p>
    <w:p w14:paraId="5BF64F45" w14:textId="4A6A99C1" w:rsidR="00D01A24" w:rsidRPr="00512C52" w:rsidRDefault="00026BE5"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As we can see from the results, historical volatility is not a good estimator of the volatility in the Black-Scholes-Merton model. </w:t>
      </w:r>
      <w:r w:rsidR="00307D78" w:rsidRPr="00512C52">
        <w:rPr>
          <w:rFonts w:ascii="Times New Roman" w:hAnsi="Times New Roman" w:cs="Times New Roman"/>
          <w:sz w:val="24"/>
          <w:szCs w:val="24"/>
        </w:rPr>
        <w:t>Firstly, it is a constant</w:t>
      </w:r>
      <w:r w:rsidR="00D1345F" w:rsidRPr="00512C52">
        <w:rPr>
          <w:rFonts w:ascii="Times New Roman" w:hAnsi="Times New Roman" w:cs="Times New Roman"/>
          <w:sz w:val="24"/>
          <w:szCs w:val="24"/>
        </w:rPr>
        <w:t xml:space="preserve"> value. As we analyzed before, the volatility should not be constant. Secondly, it is backward-looking. The historical cannot represent future. Therefore, in the second stage we calculated implied volatility to estimate the option price.</w:t>
      </w:r>
    </w:p>
    <w:p w14:paraId="76995913" w14:textId="078EC344" w:rsidR="00D1345F" w:rsidRPr="00512C52" w:rsidRDefault="00D1345F"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Historical volatility is a backward-looking estimator as it is based on historical data while implied volatility is forward-looking. Implied volatility represents the expected fluctuations of the underlying asset in the future time frame. Option traders often use both historical volatility and implied volatility to test whether the option price is overvalued or undervalued. If implied volatility is lower than historical volatility, the option price is likely to be undervalued and vice versa. </w:t>
      </w:r>
    </w:p>
    <w:p w14:paraId="1A6FCE2E" w14:textId="43A559AE" w:rsidR="00026BE5" w:rsidRPr="00512C52" w:rsidRDefault="00026BE5" w:rsidP="00D1345F">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Implied volatility </w:t>
      </w:r>
      <w:r w:rsidR="00307D78" w:rsidRPr="00512C52">
        <w:rPr>
          <w:rFonts w:ascii="Times New Roman" w:hAnsi="Times New Roman" w:cs="Times New Roman"/>
          <w:sz w:val="24"/>
          <w:szCs w:val="24"/>
        </w:rPr>
        <w:t>can be</w:t>
      </w:r>
      <w:r w:rsidRPr="00512C52">
        <w:rPr>
          <w:rFonts w:ascii="Times New Roman" w:hAnsi="Times New Roman" w:cs="Times New Roman"/>
          <w:sz w:val="24"/>
          <w:szCs w:val="24"/>
        </w:rPr>
        <w:t xml:space="preserve"> a better estimato</w:t>
      </w:r>
      <w:r w:rsidR="00D1345F" w:rsidRPr="00512C52">
        <w:rPr>
          <w:rFonts w:ascii="Times New Roman" w:hAnsi="Times New Roman" w:cs="Times New Roman"/>
          <w:sz w:val="24"/>
          <w:szCs w:val="24"/>
        </w:rPr>
        <w:t xml:space="preserve">r. It </w:t>
      </w:r>
      <w:r w:rsidRPr="00512C52">
        <w:rPr>
          <w:rFonts w:ascii="Times New Roman" w:hAnsi="Times New Roman" w:cs="Times New Roman"/>
          <w:sz w:val="24"/>
          <w:szCs w:val="24"/>
        </w:rPr>
        <w:t xml:space="preserve">is the calculated using the market option price. The BSM model shows how to calculate option price using stock price, strike price, maturity, volatility and interest rate. If we put the market option price into the equation, we can calculate the volatility for the given option price. This is called implied volatility. </w:t>
      </w:r>
    </w:p>
    <w:p w14:paraId="356A347F" w14:textId="48F77180" w:rsidR="00026BE5" w:rsidRPr="00512C52" w:rsidRDefault="00026BE5" w:rsidP="00593D5D">
      <w:pPr>
        <w:spacing w:beforeLines="50" w:before="156" w:line="360" w:lineRule="auto"/>
        <w:rPr>
          <w:rFonts w:ascii="Times New Roman" w:hAnsi="Times New Roman" w:cs="Times New Roman"/>
          <w:sz w:val="24"/>
          <w:szCs w:val="24"/>
        </w:rPr>
      </w:pPr>
      <m:oMathPara>
        <m:oMath>
          <m:r>
            <m:rPr>
              <m:sty m:val="p"/>
            </m:rPr>
            <w:rPr>
              <w:rFonts w:ascii="Cambria Math" w:hAnsi="Cambria Math" w:cs="Times New Roman"/>
              <w:sz w:val="24"/>
              <w:szCs w:val="24"/>
            </w:rPr>
            <m:t>Implied Volatility=F(</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option</m:t>
          </m:r>
          <m:r>
            <m:rPr>
              <m:sty m:val="p"/>
            </m:rPr>
            <w:rPr>
              <w:rFonts w:ascii="Cambria Math" w:hAnsi="Cambria Math" w:cs="Times New Roman"/>
              <w:sz w:val="24"/>
              <w:szCs w:val="24"/>
            </w:rPr>
            <m:t xml:space="preserve"> </m:t>
          </m:r>
          <m:r>
            <w:rPr>
              <w:rFonts w:ascii="Cambria Math" w:hAnsi="Cambria Math" w:cs="Times New Roman"/>
              <w:sz w:val="24"/>
              <w:szCs w:val="24"/>
            </w:rPr>
            <m:t>price</m:t>
          </m:r>
          <m:r>
            <m:rPr>
              <m:sty m:val="p"/>
            </m:rPr>
            <w:rPr>
              <w:rFonts w:ascii="Cambria Math" w:hAnsi="Cambria Math" w:cs="Times New Roman"/>
              <w:sz w:val="24"/>
              <w:szCs w:val="24"/>
            </w:rPr>
            <m:t>)</m:t>
          </m:r>
        </m:oMath>
      </m:oMathPara>
    </w:p>
    <w:p w14:paraId="2B3626B5" w14:textId="71BD0F81" w:rsidR="00654985" w:rsidRPr="00512C52" w:rsidRDefault="005B5995"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The following graph is the histogram and fitted density distribution line. We can see that the implied volatilities are mostly centered at the mean 0.24448 (annualized). </w:t>
      </w:r>
      <w:r w:rsidR="00D1345F" w:rsidRPr="00512C52">
        <w:rPr>
          <w:rFonts w:ascii="Times New Roman" w:hAnsi="Times New Roman" w:cs="Times New Roman"/>
          <w:sz w:val="24"/>
          <w:szCs w:val="24"/>
        </w:rPr>
        <w:t>The variance of implied volatility is 0.002212.</w:t>
      </w:r>
    </w:p>
    <w:p w14:paraId="5D02335F" w14:textId="12B157EF" w:rsidR="000F0949" w:rsidRPr="00512C52" w:rsidRDefault="005B5995"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noProof/>
          <w:sz w:val="24"/>
          <w:szCs w:val="24"/>
        </w:rPr>
        <w:lastRenderedPageBreak/>
        <w:drawing>
          <wp:inline distT="0" distB="0" distL="0" distR="0" wp14:anchorId="70415829" wp14:editId="25CA63F9">
            <wp:extent cx="5274310" cy="3355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5340"/>
                    </a:xfrm>
                    <a:prstGeom prst="rect">
                      <a:avLst/>
                    </a:prstGeom>
                  </pic:spPr>
                </pic:pic>
              </a:graphicData>
            </a:graphic>
          </wp:inline>
        </w:drawing>
      </w:r>
    </w:p>
    <w:p w14:paraId="5DEA0E2C" w14:textId="70E73B8B" w:rsidR="000F0949" w:rsidRPr="00512C52" w:rsidRDefault="00593D5D"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We can see that the historical volatility is lower than the implied volatility calculated here. </w:t>
      </w:r>
      <w:r w:rsidR="00C545DA" w:rsidRPr="00512C52">
        <w:rPr>
          <w:rFonts w:ascii="Times New Roman" w:hAnsi="Times New Roman" w:cs="Times New Roman"/>
          <w:sz w:val="24"/>
          <w:szCs w:val="24"/>
        </w:rPr>
        <w:t>This may indicate that the market option price is overvalued.</w:t>
      </w:r>
    </w:p>
    <w:p w14:paraId="53E8F77F" w14:textId="1E56FCBB" w:rsidR="002749F7" w:rsidRDefault="00C545DA"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We plotted the strike price and implied volatility at different maturities using spline interpolation (see appendix zip file). We can find that most of the implied volatility plots satisfy the “volatility </w:t>
      </w:r>
      <w:r w:rsidR="00DC6F12">
        <w:rPr>
          <w:rFonts w:ascii="Times New Roman" w:hAnsi="Times New Roman" w:cs="Times New Roman"/>
          <w:sz w:val="24"/>
          <w:szCs w:val="24"/>
        </w:rPr>
        <w:t>smile</w:t>
      </w:r>
      <w:r w:rsidRPr="00512C52">
        <w:rPr>
          <w:rFonts w:ascii="Times New Roman" w:hAnsi="Times New Roman" w:cs="Times New Roman"/>
          <w:sz w:val="24"/>
          <w:szCs w:val="24"/>
        </w:rPr>
        <w:t xml:space="preserve">”. Volatility </w:t>
      </w:r>
      <w:r w:rsidR="002749F7" w:rsidRPr="00512C52">
        <w:rPr>
          <w:rFonts w:ascii="Times New Roman" w:hAnsi="Times New Roman" w:cs="Times New Roman"/>
          <w:sz w:val="24"/>
          <w:szCs w:val="24"/>
        </w:rPr>
        <w:t xml:space="preserve">smirk a common graph shape of strike price and implied volatility. The volatility increases when the option price is in the money or out of the money. It is because most of the options are traded near the at the price case (strike price equal to stock price). There may be greater demand than supply for the in the money and out of the money cases. So, these options are likely to be overvalued, and thus have higher volatility. </w:t>
      </w:r>
    </w:p>
    <w:p w14:paraId="06CD2177" w14:textId="2AA99D31" w:rsidR="006F1481" w:rsidRPr="00512C52" w:rsidRDefault="006F1481" w:rsidP="006F1481">
      <w:pPr>
        <w:spacing w:beforeLines="50" w:before="156" w:line="360" w:lineRule="auto"/>
        <w:jc w:val="center"/>
        <w:rPr>
          <w:rFonts w:ascii="Times New Roman" w:hAnsi="Times New Roman" w:cs="Times New Roman"/>
          <w:sz w:val="24"/>
          <w:szCs w:val="24"/>
        </w:rPr>
      </w:pPr>
      <w:r>
        <w:rPr>
          <w:noProof/>
        </w:rPr>
        <w:lastRenderedPageBreak/>
        <w:drawing>
          <wp:inline distT="0" distB="0" distL="0" distR="0" wp14:anchorId="09DB0015" wp14:editId="60F71096">
            <wp:extent cx="2812316" cy="2812316"/>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892" cy="2827892"/>
                    </a:xfrm>
                    <a:prstGeom prst="rect">
                      <a:avLst/>
                    </a:prstGeom>
                    <a:noFill/>
                    <a:ln>
                      <a:noFill/>
                    </a:ln>
                  </pic:spPr>
                </pic:pic>
              </a:graphicData>
            </a:graphic>
          </wp:inline>
        </w:drawing>
      </w:r>
    </w:p>
    <w:p w14:paraId="792695A7" w14:textId="073DA297" w:rsidR="00C545DA" w:rsidRPr="00512C52" w:rsidRDefault="002749F7"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And for in the money calls or out of the money puts, they are more expensive because of the risk averse feature of the investors. They are worried about the market crashes and buying out of the money puts for protection. </w:t>
      </w:r>
    </w:p>
    <w:p w14:paraId="0B290747" w14:textId="78817507" w:rsidR="0095450B" w:rsidRPr="00512C52" w:rsidRDefault="0095450B" w:rsidP="00593D5D">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The following is the 3-D implied volatility graph. X-axis is the strike price, Y-axis is the maturity and Z-axis is the implied volatility. The shape of the graph also satisfies “volatility smirk”. The implied volatility is lowest when the strike price approaches the market price (around 160) of the stock.</w:t>
      </w:r>
    </w:p>
    <w:p w14:paraId="3869629D" w14:textId="2C5F699C" w:rsidR="00593D5D" w:rsidRPr="00512C52" w:rsidRDefault="0095450B" w:rsidP="0095450B">
      <w:pPr>
        <w:spacing w:beforeLines="50" w:before="156" w:line="360" w:lineRule="auto"/>
        <w:jc w:val="center"/>
        <w:rPr>
          <w:rFonts w:ascii="Times New Roman" w:hAnsi="Times New Roman" w:cs="Times New Roman"/>
          <w:sz w:val="24"/>
          <w:szCs w:val="24"/>
        </w:rPr>
      </w:pPr>
      <w:r w:rsidRPr="00512C52">
        <w:rPr>
          <w:rFonts w:ascii="Times New Roman" w:hAnsi="Times New Roman" w:cs="Times New Roman"/>
          <w:noProof/>
        </w:rPr>
        <w:drawing>
          <wp:inline distT="0" distB="0" distL="0" distR="0" wp14:anchorId="57BF8875" wp14:editId="7B198320">
            <wp:extent cx="3060686" cy="3272937"/>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859" cy="3292370"/>
                    </a:xfrm>
                    <a:prstGeom prst="rect">
                      <a:avLst/>
                    </a:prstGeom>
                  </pic:spPr>
                </pic:pic>
              </a:graphicData>
            </a:graphic>
          </wp:inline>
        </w:drawing>
      </w:r>
    </w:p>
    <w:p w14:paraId="750C4500" w14:textId="021F10F9" w:rsidR="0095450B" w:rsidRPr="00512C52" w:rsidRDefault="00D01A24" w:rsidP="00CA6B80">
      <w:pPr>
        <w:pStyle w:val="Heading1"/>
        <w:numPr>
          <w:ilvl w:val="0"/>
          <w:numId w:val="1"/>
        </w:numPr>
        <w:rPr>
          <w:rFonts w:ascii="Times New Roman" w:hAnsi="Times New Roman" w:cs="Times New Roman"/>
        </w:rPr>
      </w:pPr>
      <w:bookmarkStart w:id="5" w:name="_Toc4302680"/>
      <w:r w:rsidRPr="00512C52">
        <w:rPr>
          <w:rFonts w:ascii="Times New Roman" w:hAnsi="Times New Roman" w:cs="Times New Roman"/>
        </w:rPr>
        <w:lastRenderedPageBreak/>
        <w:t>Predict option price using SVM</w:t>
      </w:r>
      <w:bookmarkEnd w:id="5"/>
      <w:r w:rsidRPr="00512C52">
        <w:rPr>
          <w:rFonts w:ascii="Times New Roman" w:hAnsi="Times New Roman" w:cs="Times New Roman"/>
        </w:rPr>
        <w:t xml:space="preserve"> </w:t>
      </w:r>
    </w:p>
    <w:p w14:paraId="72C01A31" w14:textId="77777777" w:rsidR="0095450B" w:rsidRPr="00512C52" w:rsidRDefault="0095450B"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To see whether implied volatility is a better estimator and its predictability of the future volatility, we use the SVM method and 5-minute data to predict the future 1-minute option price. And use the calculated option price to compare with the real data to see whether the interpolated volatility can finely estimate the future option price. </w:t>
      </w:r>
    </w:p>
    <w:p w14:paraId="7408269B" w14:textId="77777777" w:rsidR="0095450B" w:rsidRPr="00512C52" w:rsidRDefault="00244C3F"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To </w:t>
      </w:r>
      <w:r w:rsidR="00F021BC" w:rsidRPr="00512C52">
        <w:rPr>
          <w:rFonts w:ascii="Times New Roman" w:hAnsi="Times New Roman" w:cs="Times New Roman"/>
          <w:sz w:val="24"/>
          <w:szCs w:val="24"/>
        </w:rPr>
        <w:t>test</w:t>
      </w:r>
      <w:r w:rsidRPr="00512C52">
        <w:rPr>
          <w:rFonts w:ascii="Times New Roman" w:hAnsi="Times New Roman" w:cs="Times New Roman"/>
          <w:sz w:val="24"/>
          <w:szCs w:val="24"/>
        </w:rPr>
        <w:t xml:space="preserve"> the</w:t>
      </w:r>
      <w:r w:rsidR="00F021BC" w:rsidRPr="00512C52">
        <w:rPr>
          <w:rFonts w:ascii="Times New Roman" w:hAnsi="Times New Roman" w:cs="Times New Roman"/>
          <w:sz w:val="24"/>
          <w:szCs w:val="24"/>
        </w:rPr>
        <w:t xml:space="preserve"> predictability of implied volatility, we used the SVM model to estimate volatility in the future based on historical dat. And calculate the option price using the estimated volatility. </w:t>
      </w:r>
    </w:p>
    <w:p w14:paraId="68D7E5B5" w14:textId="14D90519" w:rsidR="00204C0A" w:rsidRPr="00512C52" w:rsidRDefault="00F021BC"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SVM is Support Vector Machines. </w:t>
      </w:r>
      <w:r w:rsidR="0095450B" w:rsidRPr="00512C52">
        <w:rPr>
          <w:rFonts w:ascii="Times New Roman" w:hAnsi="Times New Roman" w:cs="Times New Roman"/>
          <w:sz w:val="24"/>
          <w:szCs w:val="24"/>
        </w:rPr>
        <w:t xml:space="preserve">This method takes the train data </w:t>
      </w:r>
      <w:r w:rsidR="00F74747">
        <w:rPr>
          <w:rFonts w:ascii="Times New Roman" w:hAnsi="Times New Roman" w:cs="Times New Roman"/>
          <w:sz w:val="24"/>
          <w:szCs w:val="24"/>
        </w:rPr>
        <w:t xml:space="preserve">as input to figure out a multi-dimension surface that can separate the data points to different groups. Here we use the strike price and maturity as input and use the model to predict the implied volatility for a given strike price and maturity option in the future time. </w:t>
      </w:r>
    </w:p>
    <w:p w14:paraId="3D0BD8A1" w14:textId="3E9A0984" w:rsidR="002D34E6" w:rsidRPr="00512C52" w:rsidRDefault="00F021BC"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In this stage, we split the daily transaction records into different groups. One kind of the group is train data (5-minute data) and the other is test data (1-minute data). We use</w:t>
      </w:r>
      <w:r w:rsidR="000D2991" w:rsidRPr="00512C52">
        <w:rPr>
          <w:rFonts w:ascii="Times New Roman" w:hAnsi="Times New Roman" w:cs="Times New Roman"/>
          <w:sz w:val="24"/>
          <w:szCs w:val="24"/>
        </w:rPr>
        <w:t>d</w:t>
      </w:r>
      <w:r w:rsidRPr="00512C52">
        <w:rPr>
          <w:rFonts w:ascii="Times New Roman" w:hAnsi="Times New Roman" w:cs="Times New Roman"/>
          <w:sz w:val="24"/>
          <w:szCs w:val="24"/>
        </w:rPr>
        <w:t xml:space="preserve"> the 5-minute data to train the </w:t>
      </w:r>
      <w:r w:rsidR="000D2991" w:rsidRPr="00512C52">
        <w:rPr>
          <w:rFonts w:ascii="Times New Roman" w:hAnsi="Times New Roman" w:cs="Times New Roman"/>
          <w:sz w:val="24"/>
          <w:szCs w:val="24"/>
        </w:rPr>
        <w:t>machine. The SVM model helped to estimate the volatility in the future 1 minute.</w:t>
      </w:r>
    </w:p>
    <w:p w14:paraId="2A5930EC" w14:textId="3E17720C" w:rsidR="002D34E6" w:rsidRDefault="00372E23"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 xml:space="preserve">The estimation results are in the appendices. </w:t>
      </w:r>
      <w:r w:rsidR="002D34E6">
        <w:rPr>
          <w:rFonts w:ascii="Times New Roman" w:hAnsi="Times New Roman" w:cs="Times New Roman"/>
          <w:sz w:val="24"/>
          <w:szCs w:val="24"/>
        </w:rPr>
        <w:t>Below shows the predicted price and market price difference of group 2.</w:t>
      </w:r>
    </w:p>
    <w:p w14:paraId="0A421B5B" w14:textId="09914F57" w:rsidR="002D34E6" w:rsidRPr="002D34E6" w:rsidRDefault="002D34E6" w:rsidP="006F1481">
      <w:pPr>
        <w:spacing w:beforeLines="50" w:before="156" w:line="360" w:lineRule="auto"/>
        <w:jc w:val="center"/>
        <w:rPr>
          <w:rFonts w:ascii="Times New Roman" w:hAnsi="Times New Roman" w:cs="Times New Roman"/>
          <w:sz w:val="24"/>
          <w:szCs w:val="24"/>
        </w:rPr>
      </w:pPr>
      <w:r>
        <w:rPr>
          <w:noProof/>
        </w:rPr>
        <w:drawing>
          <wp:inline distT="0" distB="0" distL="0" distR="0" wp14:anchorId="269D6D3C" wp14:editId="579FF366">
            <wp:extent cx="4812575" cy="2470602"/>
            <wp:effectExtent l="0" t="0" r="762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0335" cy="2474586"/>
                    </a:xfrm>
                    <a:prstGeom prst="rect">
                      <a:avLst/>
                    </a:prstGeom>
                  </pic:spPr>
                </pic:pic>
              </a:graphicData>
            </a:graphic>
          </wp:inline>
        </w:drawing>
      </w:r>
    </w:p>
    <w:p w14:paraId="7D6E5E9F" w14:textId="3AB69A16" w:rsidR="00204C0A" w:rsidRPr="00512C52" w:rsidRDefault="00372E23" w:rsidP="0095450B">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lastRenderedPageBreak/>
        <w:t>We found that the SVM model can correctly estimate the option price 90% of the time over setting the threshold 10% (the threshold is the estimated option price percentage difference with the market option price).</w:t>
      </w:r>
    </w:p>
    <w:p w14:paraId="728B3803" w14:textId="61F0C958" w:rsidR="00204C0A" w:rsidRPr="00512C52" w:rsidRDefault="00204C0A" w:rsidP="00CA6B80">
      <w:pPr>
        <w:rPr>
          <w:rFonts w:ascii="Times New Roman" w:hAnsi="Times New Roman" w:cs="Times New Roman"/>
        </w:rPr>
      </w:pPr>
    </w:p>
    <w:p w14:paraId="6D69115A" w14:textId="6EB7E8A5" w:rsidR="00204C0A" w:rsidRPr="00512C52" w:rsidRDefault="00B50E25" w:rsidP="00AE6BA7">
      <w:pPr>
        <w:pStyle w:val="Heading1"/>
        <w:numPr>
          <w:ilvl w:val="0"/>
          <w:numId w:val="1"/>
        </w:numPr>
        <w:rPr>
          <w:rFonts w:ascii="Times New Roman" w:hAnsi="Times New Roman" w:cs="Times New Roman"/>
        </w:rPr>
      </w:pPr>
      <w:bookmarkStart w:id="6" w:name="_Toc4302681"/>
      <w:r>
        <w:rPr>
          <w:rFonts w:ascii="Times New Roman" w:hAnsi="Times New Roman" w:cs="Times New Roman"/>
        </w:rPr>
        <w:t>D</w:t>
      </w:r>
      <w:r>
        <w:rPr>
          <w:rFonts w:ascii="Times New Roman" w:hAnsi="Times New Roman" w:cs="Times New Roman" w:hint="eastAsia"/>
        </w:rPr>
        <w:t>ouble</w:t>
      </w:r>
      <w:r>
        <w:rPr>
          <w:rFonts w:ascii="Times New Roman" w:hAnsi="Times New Roman" w:cs="Times New Roman"/>
        </w:rPr>
        <w:t xml:space="preserve"> Exponential </w:t>
      </w:r>
      <w:r w:rsidR="00AE6BA7" w:rsidRPr="00512C52">
        <w:rPr>
          <w:rFonts w:ascii="Times New Roman" w:hAnsi="Times New Roman" w:cs="Times New Roman"/>
        </w:rPr>
        <w:t>Jump Model</w:t>
      </w:r>
      <w:bookmarkEnd w:id="6"/>
    </w:p>
    <w:p w14:paraId="0A0B10B0" w14:textId="62F51682" w:rsidR="00204C0A" w:rsidRPr="00B50E25" w:rsidRDefault="002628E1" w:rsidP="00CA1C63">
      <w:pPr>
        <w:spacing w:beforeLines="50" w:before="156" w:line="360" w:lineRule="auto"/>
        <w:rPr>
          <w:rFonts w:ascii="Times New Roman" w:hAnsi="Times New Roman" w:cs="Times New Roman"/>
          <w:sz w:val="24"/>
          <w:szCs w:val="24"/>
        </w:rPr>
      </w:pPr>
      <w:r w:rsidRPr="00512C52">
        <w:rPr>
          <w:rFonts w:ascii="Times New Roman" w:hAnsi="Times New Roman" w:cs="Times New Roman"/>
          <w:sz w:val="24"/>
          <w:szCs w:val="24"/>
        </w:rPr>
        <w:t>Here we use</w:t>
      </w:r>
      <w:r w:rsidR="00CA1C63" w:rsidRPr="00512C52">
        <w:rPr>
          <w:rFonts w:ascii="Times New Roman" w:hAnsi="Times New Roman" w:cs="Times New Roman"/>
          <w:sz w:val="24"/>
          <w:szCs w:val="24"/>
        </w:rPr>
        <w:t>d</w:t>
      </w:r>
      <w:r w:rsidRPr="00512C52">
        <w:rPr>
          <w:rFonts w:ascii="Times New Roman" w:hAnsi="Times New Roman" w:cs="Times New Roman"/>
          <w:sz w:val="24"/>
          <w:szCs w:val="24"/>
        </w:rPr>
        <w:t xml:space="preserve"> the Double Exponential Jump </w:t>
      </w:r>
      <w:r w:rsidR="00B50E25">
        <w:rPr>
          <w:rFonts w:ascii="Times New Roman" w:hAnsi="Times New Roman" w:cs="Times New Roman"/>
          <w:sz w:val="24"/>
          <w:szCs w:val="24"/>
        </w:rPr>
        <w:t xml:space="preserve">Diffusion </w:t>
      </w:r>
      <w:r w:rsidR="00A16068" w:rsidRPr="00512C52">
        <w:rPr>
          <w:rFonts w:ascii="Times New Roman" w:hAnsi="Times New Roman" w:cs="Times New Roman"/>
          <w:sz w:val="24"/>
          <w:szCs w:val="24"/>
        </w:rPr>
        <w:t>M</w:t>
      </w:r>
      <w:r w:rsidRPr="00512C52">
        <w:rPr>
          <w:rFonts w:ascii="Times New Roman" w:hAnsi="Times New Roman" w:cs="Times New Roman"/>
          <w:sz w:val="24"/>
          <w:szCs w:val="24"/>
        </w:rPr>
        <w:t>odel</w:t>
      </w:r>
      <w:r w:rsidR="00B50E25">
        <w:rPr>
          <w:rFonts w:ascii="Times New Roman" w:hAnsi="Times New Roman" w:cs="Times New Roman"/>
          <w:sz w:val="24"/>
          <w:szCs w:val="24"/>
        </w:rPr>
        <w:t xml:space="preserve"> (DEJD)</w:t>
      </w:r>
      <w:r w:rsidRPr="00512C52">
        <w:rPr>
          <w:rFonts w:ascii="Times New Roman" w:hAnsi="Times New Roman" w:cs="Times New Roman"/>
          <w:sz w:val="24"/>
          <w:szCs w:val="24"/>
        </w:rPr>
        <w:t xml:space="preserve"> to </w:t>
      </w:r>
      <w:r w:rsidR="00CA1C63" w:rsidRPr="00512C52">
        <w:rPr>
          <w:rFonts w:ascii="Times New Roman" w:hAnsi="Times New Roman" w:cs="Times New Roman"/>
          <w:sz w:val="24"/>
          <w:szCs w:val="24"/>
        </w:rPr>
        <w:t>improve the estimation</w:t>
      </w:r>
      <w:r w:rsidR="00B50E25">
        <w:rPr>
          <w:rFonts w:ascii="Times New Roman" w:hAnsi="Times New Roman" w:cs="Times New Roman"/>
          <w:sz w:val="24"/>
          <w:szCs w:val="24"/>
        </w:rPr>
        <w:t xml:space="preserve"> of option price</w:t>
      </w:r>
      <w:r w:rsidR="00CA1C63" w:rsidRPr="00512C52">
        <w:rPr>
          <w:rFonts w:ascii="Times New Roman" w:hAnsi="Times New Roman" w:cs="Times New Roman"/>
          <w:sz w:val="24"/>
          <w:szCs w:val="24"/>
        </w:rPr>
        <w:t xml:space="preserve">. </w:t>
      </w:r>
    </w:p>
    <w:p w14:paraId="42CE291C" w14:textId="5F0B8CFA" w:rsidR="00204C0A" w:rsidRPr="00B50E25" w:rsidRDefault="00B50E25" w:rsidP="00B50E25">
      <w:pPr>
        <w:spacing w:beforeLines="50" w:before="156" w:line="360" w:lineRule="auto"/>
        <w:rPr>
          <w:rFonts w:ascii="Times New Roman" w:hAnsi="Times New Roman" w:cs="Times New Roman"/>
          <w:sz w:val="24"/>
          <w:szCs w:val="24"/>
        </w:rPr>
      </w:pPr>
      <w:r w:rsidRPr="00B50E25">
        <w:rPr>
          <w:rFonts w:ascii="Times New Roman" w:hAnsi="Times New Roman" w:cs="Times New Roman"/>
          <w:sz w:val="24"/>
          <w:szCs w:val="24"/>
        </w:rPr>
        <w:t xml:space="preserve">DEJD was firstly put forward by Steven Kou. </w:t>
      </w:r>
      <w:r>
        <w:rPr>
          <w:rFonts w:ascii="Times New Roman" w:hAnsi="Times New Roman" w:cs="Times New Roman"/>
          <w:sz w:val="24"/>
          <w:szCs w:val="24"/>
        </w:rPr>
        <w:t xml:space="preserve">This model is a compromise between reality and tractability. It explains the asymmetric leptokurtic feature and the volatility smile. </w:t>
      </w:r>
    </w:p>
    <w:p w14:paraId="4215940F" w14:textId="77777777" w:rsidR="00B50E25" w:rsidRPr="00B50E25" w:rsidRDefault="00B50E25"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In this model, the dynamics of stock price is given by:</w:t>
      </w:r>
    </w:p>
    <w:p w14:paraId="38B67FEA" w14:textId="50DDD605" w:rsidR="00204C0A" w:rsidRPr="00B50E25" w:rsidRDefault="00064BF3" w:rsidP="00B50E25">
      <w:pPr>
        <w:spacing w:beforeLines="50" w:before="156" w:line="36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ctrlPr>
                <w:rPr>
                  <w:rFonts w:ascii="Cambria Math" w:hAnsi="Cambria Math" w:cs="Times New Roman"/>
                  <w:i/>
                  <w:sz w:val="24"/>
                  <w:szCs w:val="24"/>
                </w:rPr>
              </m:ctrlPr>
            </m:num>
            <m:den>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=μdt+σd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p>
              </m:sSup>
            </m:e>
          </m:nary>
          <m:r>
            <w:rPr>
              <w:rFonts w:ascii="Cambria Math" w:hAnsi="Cambria Math" w:cs="Times New Roman"/>
              <w:sz w:val="24"/>
              <w:szCs w:val="24"/>
            </w:rPr>
            <m:t>-1)</m:t>
          </m:r>
        </m:oMath>
      </m:oMathPara>
    </w:p>
    <w:p w14:paraId="4E1B40BF" w14:textId="77777777" w:rsidR="00A24A10" w:rsidRDefault="00B50E25"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It is similar to the BSM model except the </w:t>
      </w:r>
      <w:r w:rsidR="00A24A10" w:rsidRPr="00A24A10">
        <w:rPr>
          <w:rFonts w:ascii="Times New Roman" w:hAnsi="Times New Roman" w:cs="Times New Roman"/>
          <w:sz w:val="24"/>
          <w:szCs w:val="24"/>
        </w:rPr>
        <w:t xml:space="preserve">diffusion </w:t>
      </w:r>
      <w:r>
        <w:rPr>
          <w:rFonts w:ascii="Times New Roman" w:hAnsi="Times New Roman" w:cs="Times New Roman"/>
          <w:sz w:val="24"/>
          <w:szCs w:val="24"/>
        </w:rPr>
        <w:t xml:space="preserve">term </w:t>
      </w:r>
      <m:oMath>
        <m:r>
          <w:rPr>
            <w:rFonts w:ascii="Cambria Math" w:hAnsi="Cambria Math" w:cs="Times New Roman"/>
            <w:sz w:val="24"/>
            <w:szCs w:val="24"/>
          </w:rPr>
          <m:t>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p>
            </m:sSup>
          </m:e>
        </m:nary>
        <m:r>
          <w:rPr>
            <w:rFonts w:ascii="Cambria Math" w:hAnsi="Cambria Math" w:cs="Times New Roman"/>
            <w:sz w:val="24"/>
            <w:szCs w:val="24"/>
          </w:rPr>
          <m:t>-1)</m:t>
        </m:r>
      </m:oMath>
      <w:r>
        <w:rPr>
          <w:rFonts w:ascii="Times New Roman" w:hAnsi="Times New Roman" w:cs="Times New Roman" w:hint="eastAsia"/>
          <w:sz w:val="24"/>
          <w:szCs w:val="24"/>
        </w:rPr>
        <w:t>.</w:t>
      </w:r>
      <w:r>
        <w:rPr>
          <w:rFonts w:ascii="Times New Roman" w:hAnsi="Times New Roman" w:cs="Times New Roman"/>
          <w:sz w:val="24"/>
          <w:szCs w:val="24"/>
        </w:rPr>
        <w:t xml:space="preserve"> </w:t>
      </w:r>
      <w:r w:rsidR="00A24A10">
        <w:rPr>
          <w:rFonts w:ascii="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A24A10">
        <w:rPr>
          <w:rFonts w:ascii="Times New Roman" w:hAnsi="Times New Roman" w:cs="Times New Roman" w:hint="eastAsia"/>
          <w:sz w:val="24"/>
          <w:szCs w:val="24"/>
        </w:rPr>
        <w:t xml:space="preserve"> </w:t>
      </w:r>
      <w:r w:rsidR="00A24A10">
        <w:rPr>
          <w:rFonts w:ascii="Times New Roman" w:hAnsi="Times New Roman" w:cs="Times New Roman"/>
          <w:sz w:val="24"/>
          <w:szCs w:val="24"/>
        </w:rPr>
        <w:t xml:space="preserve">is jump size and are </w:t>
      </w:r>
      <w:proofErr w:type="spellStart"/>
      <w:r w:rsidR="00A24A10">
        <w:rPr>
          <w:rFonts w:ascii="Times New Roman" w:hAnsi="Times New Roman" w:cs="Times New Roman"/>
          <w:sz w:val="24"/>
          <w:szCs w:val="24"/>
        </w:rPr>
        <w:t>i.i.d</w:t>
      </w:r>
      <w:proofErr w:type="spellEnd"/>
      <w:r w:rsidR="00A24A10">
        <w:rPr>
          <w:rFonts w:ascii="Times New Roman" w:hAnsi="Times New Roman" w:cs="Times New Roman"/>
          <w:sz w:val="24"/>
          <w:szCs w:val="24"/>
        </w:rPr>
        <w:t>. with asymmetric double exponential distribution of density:</w:t>
      </w:r>
    </w:p>
    <w:p w14:paraId="1D4F84A5" w14:textId="1B34527C" w:rsidR="00204C0A" w:rsidRDefault="00064BF3" w:rsidP="00A24A10">
      <w:pPr>
        <w:spacing w:beforeLines="50" w:before="156"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y</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1</m:t>
              </m:r>
            </m:e>
            <m:sub>
              <m:r>
                <w:rPr>
                  <w:rFonts w:ascii="Cambria Math" w:hAnsi="Cambria Math" w:cs="Times New Roman"/>
                  <w:sz w:val="24"/>
                  <w:szCs w:val="24"/>
                </w:rPr>
                <m:t>{y≥0}</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y</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1</m:t>
              </m:r>
            </m:e>
            <m:sub>
              <m:r>
                <w:rPr>
                  <w:rFonts w:ascii="Cambria Math" w:hAnsi="Cambria Math" w:cs="Times New Roman"/>
                  <w:sz w:val="24"/>
                  <w:szCs w:val="24"/>
                </w:rPr>
                <m:t>{y&lt;0}</m:t>
              </m:r>
            </m:sub>
          </m:sSub>
        </m:oMath>
      </m:oMathPara>
    </w:p>
    <w:p w14:paraId="5DFA8B17" w14:textId="3AC4D644" w:rsidR="00A24A10" w:rsidRPr="007C4C2F" w:rsidRDefault="00A24A10"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Here the p and q are the probability of jump up and jump down,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=1.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&gt;1</m:t>
        </m:r>
      </m:oMath>
      <w:r>
        <w:rPr>
          <w:rFonts w:ascii="Times New Roman" w:hAnsi="Times New Roman" w:cs="Times New Roman" w:hint="eastAsia"/>
          <w:sz w:val="24"/>
          <w:szCs w:val="24"/>
        </w:rPr>
        <w:t xml:space="preserve"> </w:t>
      </w:r>
      <w:r>
        <w:rPr>
          <w:rFonts w:ascii="Times New Roman" w:hAnsi="Times New Roman" w:cs="Times New Roman"/>
          <w:sz w:val="24"/>
          <w:szCs w:val="24"/>
        </w:rPr>
        <w:t>is imposed to ensure the stock price has finite expectation.</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are the parameters of the two exponential distributions</w:t>
      </w:r>
      <w:r w:rsidR="007C4C2F">
        <w:rPr>
          <w:rFonts w:ascii="Times New Roman" w:hAnsi="Times New Roman" w:cs="Times New Roman"/>
          <w:sz w:val="24"/>
          <w:szCs w:val="24"/>
        </w:rPr>
        <w:t xml:space="preserve"> (</w:t>
      </w:r>
      <w:r w:rsidR="007C4C2F" w:rsidRPr="00512C52">
        <w:rPr>
          <w:rFonts w:ascii="Times New Roman" w:hAnsi="Times New Roman" w:cs="Times New Roman"/>
          <w:color w:val="222222"/>
          <w:sz w:val="22"/>
          <w:szCs w:val="20"/>
          <w:shd w:val="clear" w:color="auto" w:fill="FFFFFF"/>
        </w:rPr>
        <w:t>Kou, 2004</w:t>
      </w:r>
      <w:r w:rsidR="007C4C2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C4C2F">
        <w:rPr>
          <w:rFonts w:ascii="Times New Roman" w:hAnsi="Times New Roman" w:cs="Times New Roman"/>
          <w:sz w:val="24"/>
          <w:szCs w:val="24"/>
        </w:rPr>
        <w:t xml:space="preserve">They are also the expected positive and negative jump sizes. </w:t>
      </w:r>
      <m:oMath>
        <m:r>
          <w:rPr>
            <w:rFonts w:ascii="Cambria Math" w:hAnsi="Cambria Math" w:cs="Times New Roman"/>
            <w:sz w:val="24"/>
            <w:szCs w:val="24"/>
          </w:rPr>
          <m:t>α</m:t>
        </m:r>
      </m:oMath>
      <w:r w:rsidR="00702E94">
        <w:rPr>
          <w:rFonts w:ascii="Times New Roman" w:hAnsi="Times New Roman" w:cs="Times New Roman" w:hint="eastAsia"/>
          <w:sz w:val="24"/>
          <w:szCs w:val="24"/>
        </w:rPr>
        <w:t xml:space="preserve"> </w:t>
      </w:r>
      <w:r w:rsidR="00702E94">
        <w:rPr>
          <w:rFonts w:ascii="Times New Roman" w:hAnsi="Times New Roman" w:cs="Times New Roman"/>
          <w:sz w:val="24"/>
          <w:szCs w:val="24"/>
        </w:rPr>
        <w:t>is the mean of log jump size.</w:t>
      </w:r>
    </w:p>
    <w:p w14:paraId="399259DF" w14:textId="5C89FA61" w:rsidR="00204C0A" w:rsidRDefault="007C4C2F"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The characteristic function of the model is: </w:t>
      </w:r>
    </w:p>
    <w:p w14:paraId="34574DA8" w14:textId="490172EE" w:rsidR="007C4C2F" w:rsidRPr="00B50E25" w:rsidRDefault="00064BF3" w:rsidP="00B50E25">
      <w:pPr>
        <w:spacing w:beforeLines="50" w:before="156"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iuwT-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T+λT(</m:t>
                  </m:r>
                  <m:f>
                    <m:fPr>
                      <m:ctrlPr>
                        <w:rPr>
                          <w:rFonts w:ascii="Cambria Math" w:hAnsi="Cambria Math" w:cs="Times New Roman"/>
                          <w:i/>
                          <w:sz w:val="24"/>
                          <w:szCs w:val="24"/>
                        </w:rPr>
                      </m:ctrlPr>
                    </m:fPr>
                    <m:num>
                      <m:r>
                        <w:rPr>
                          <w:rFonts w:ascii="Cambria Math" w:hAnsi="Cambria Math" w:cs="Times New Roman"/>
                          <w:sz w:val="24"/>
                          <w:szCs w:val="24"/>
                        </w:rPr>
                        <m:t>p</m:t>
                      </m:r>
                    </m:num>
                    <m:den>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-iu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+iu</m:t>
                      </m:r>
                    </m:den>
                  </m:f>
                  <m:r>
                    <w:rPr>
                      <w:rFonts w:ascii="Cambria Math" w:hAnsi="Cambria Math" w:cs="Times New Roman"/>
                      <w:sz w:val="24"/>
                      <w:szCs w:val="24"/>
                    </w:rPr>
                    <m:t>)</m:t>
                  </m:r>
                </m:e>
              </m:d>
            </m:e>
          </m:func>
        </m:oMath>
      </m:oMathPara>
    </w:p>
    <w:p w14:paraId="7F3E1709" w14:textId="1FBC9BBC" w:rsidR="00204C0A" w:rsidRDefault="007C4C2F"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w=-</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r>
          <w:rPr>
            <w:rFonts w:ascii="Cambria Math" w:hAnsi="Cambria Math" w:cs="Times New Roman"/>
            <w:sz w:val="24"/>
            <w:szCs w:val="24"/>
          </w:rPr>
          <m:t>-λ(</m:t>
        </m:r>
        <m:f>
          <m:fPr>
            <m:ctrlPr>
              <w:rPr>
                <w:rFonts w:ascii="Cambria Math" w:hAnsi="Cambria Math" w:cs="Times New Roman"/>
                <w:i/>
                <w:sz w:val="24"/>
                <w:szCs w:val="24"/>
              </w:rPr>
            </m:ctrlPr>
          </m:fPr>
          <m:num>
            <m:r>
              <w:rPr>
                <w:rFonts w:ascii="Cambria Math" w:hAnsi="Cambria Math" w:cs="Times New Roman"/>
                <w:sz w:val="24"/>
                <w:szCs w:val="24"/>
              </w:rPr>
              <m:t>p</m:t>
            </m:r>
          </m:num>
          <m:den>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-1</m:t>
            </m:r>
          </m:den>
        </m:f>
        <m:r>
          <w:rPr>
            <w:rFonts w:ascii="Cambria Math" w:hAnsi="Cambria Math" w:cs="Times New Roman"/>
            <w:sz w:val="24"/>
            <w:szCs w:val="24"/>
          </w:rPr>
          <m:t>)</m:t>
        </m:r>
      </m:oMath>
      <w:r>
        <w:rPr>
          <w:rFonts w:ascii="Times New Roman" w:hAnsi="Times New Roman" w:cs="Times New Roman"/>
          <w:sz w:val="24"/>
          <w:szCs w:val="24"/>
        </w:rPr>
        <w:t>.</w:t>
      </w:r>
    </w:p>
    <w:p w14:paraId="79EA04D2" w14:textId="0BC6FCE3" w:rsidR="00204C0A" w:rsidRPr="00B50E25" w:rsidRDefault="00702E94"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lastRenderedPageBreak/>
        <w:t>Given the characteristic function of the DEJD model, we can use the Fast Fourier Transform to get the distribution of stock price.</w:t>
      </w:r>
    </w:p>
    <w:p w14:paraId="0AD47176" w14:textId="4850F871" w:rsidR="00204C0A" w:rsidRPr="00B50E25" w:rsidRDefault="002C4DAC"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Then we can use the sampling method such as importance sampling to get the sampled stock price. The stock price can later be used to calculate the option price. Use the Monte Carlo method and calculate the option price for many times we can get the expected option price for given strike price, maturity and other variables and parameters in the model</w:t>
      </w:r>
      <w:r w:rsidR="006F1481">
        <w:rPr>
          <w:rFonts w:ascii="Times New Roman" w:hAnsi="Times New Roman" w:cs="Times New Roman"/>
          <w:sz w:val="24"/>
          <w:szCs w:val="24"/>
        </w:rPr>
        <w:t xml:space="preserve"> (</w:t>
      </w:r>
      <w:proofErr w:type="spellStart"/>
      <w:r w:rsidR="006F1481" w:rsidRPr="00512C52">
        <w:rPr>
          <w:rFonts w:ascii="Times New Roman" w:hAnsi="Times New Roman" w:cs="Times New Roman"/>
          <w:color w:val="222222"/>
          <w:sz w:val="22"/>
          <w:szCs w:val="20"/>
          <w:shd w:val="clear" w:color="auto" w:fill="FFFFFF"/>
        </w:rPr>
        <w:t>Andreevska</w:t>
      </w:r>
      <w:proofErr w:type="spellEnd"/>
      <w:r w:rsidR="006F1481" w:rsidRPr="00512C52">
        <w:rPr>
          <w:rFonts w:ascii="Times New Roman" w:hAnsi="Times New Roman" w:cs="Times New Roman"/>
          <w:color w:val="222222"/>
          <w:sz w:val="22"/>
          <w:szCs w:val="20"/>
          <w:shd w:val="clear" w:color="auto" w:fill="FFFFFF"/>
        </w:rPr>
        <w:t>, I.</w:t>
      </w:r>
      <w:r w:rsidR="006F1481">
        <w:rPr>
          <w:rFonts w:ascii="Times New Roman" w:hAnsi="Times New Roman" w:cs="Times New Roman"/>
          <w:color w:val="222222"/>
          <w:sz w:val="22"/>
          <w:szCs w:val="20"/>
          <w:shd w:val="clear" w:color="auto" w:fill="FFFFFF"/>
        </w:rPr>
        <w:t xml:space="preserve">, </w:t>
      </w:r>
      <w:r w:rsidR="006F1481" w:rsidRPr="00512C52">
        <w:rPr>
          <w:rFonts w:ascii="Times New Roman" w:hAnsi="Times New Roman" w:cs="Times New Roman"/>
          <w:color w:val="222222"/>
          <w:sz w:val="22"/>
          <w:szCs w:val="20"/>
          <w:shd w:val="clear" w:color="auto" w:fill="FFFFFF"/>
        </w:rPr>
        <w:t>2008)</w:t>
      </w:r>
      <w:r w:rsidR="006F1481">
        <w:rPr>
          <w:rFonts w:ascii="Times New Roman" w:hAnsi="Times New Roman" w:cs="Times New Roman"/>
          <w:sz w:val="24"/>
          <w:szCs w:val="24"/>
        </w:rPr>
        <w:t>)</w:t>
      </w:r>
      <w:r>
        <w:rPr>
          <w:rFonts w:ascii="Times New Roman" w:hAnsi="Times New Roman" w:cs="Times New Roman"/>
          <w:sz w:val="24"/>
          <w:szCs w:val="24"/>
        </w:rPr>
        <w:t>.</w:t>
      </w:r>
    </w:p>
    <w:p w14:paraId="204AE4BC" w14:textId="0465E14B" w:rsidR="00204C0A" w:rsidRPr="00B50E25" w:rsidRDefault="002C4DAC"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However, we </w:t>
      </w:r>
      <w:r w:rsidR="00F74747">
        <w:rPr>
          <w:rFonts w:ascii="Times New Roman" w:hAnsi="Times New Roman" w:cs="Times New Roman"/>
          <w:sz w:val="24"/>
          <w:szCs w:val="24"/>
        </w:rPr>
        <w:t>are unable to figure out a set of feasible parameters for the DEJD model. This part is remained to be investigated in the future.</w:t>
      </w:r>
    </w:p>
    <w:p w14:paraId="4FB3B142" w14:textId="44A45986" w:rsidR="00204C0A" w:rsidRDefault="00893973" w:rsidP="00893973">
      <w:pPr>
        <w:pStyle w:val="Heading1"/>
        <w:numPr>
          <w:ilvl w:val="0"/>
          <w:numId w:val="1"/>
        </w:numPr>
        <w:rPr>
          <w:rFonts w:ascii="Times New Roman" w:hAnsi="Times New Roman" w:cs="Times New Roman"/>
        </w:rPr>
      </w:pPr>
      <w:bookmarkStart w:id="7" w:name="_Toc4302682"/>
      <w:r w:rsidRPr="00893973">
        <w:rPr>
          <w:rFonts w:ascii="Times New Roman" w:hAnsi="Times New Roman" w:cs="Times New Roman"/>
        </w:rPr>
        <w:t>Possible Improvements</w:t>
      </w:r>
      <w:bookmarkEnd w:id="7"/>
    </w:p>
    <w:p w14:paraId="700B3D39" w14:textId="15480FB8" w:rsidR="00893973" w:rsidRPr="00893973" w:rsidRDefault="006F1481" w:rsidP="00893973">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Firstly, t</w:t>
      </w:r>
      <w:r w:rsidR="00893973" w:rsidRPr="00893973">
        <w:rPr>
          <w:rFonts w:ascii="Times New Roman" w:hAnsi="Times New Roman" w:cs="Times New Roman"/>
          <w:sz w:val="24"/>
          <w:szCs w:val="24"/>
        </w:rPr>
        <w:t>he data we used in this research is the AAPL option trading records for a day. We can further analyze other stocks data and for a longer timeframe to generalize the findings.</w:t>
      </w:r>
    </w:p>
    <w:p w14:paraId="20B031A4" w14:textId="351AF332" w:rsidR="00893973" w:rsidRDefault="006F1481" w:rsidP="00893973">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Secondly</w:t>
      </w:r>
      <w:r w:rsidR="00893973">
        <w:rPr>
          <w:rFonts w:ascii="Times New Roman" w:hAnsi="Times New Roman" w:cs="Times New Roman"/>
          <w:sz w:val="24"/>
          <w:szCs w:val="24"/>
        </w:rPr>
        <w:t xml:space="preserve">, we </w:t>
      </w:r>
      <w:r>
        <w:rPr>
          <w:rFonts w:ascii="Times New Roman" w:hAnsi="Times New Roman" w:cs="Times New Roman"/>
          <w:sz w:val="24"/>
          <w:szCs w:val="24"/>
        </w:rPr>
        <w:t>did not customize the parameters and functions of the SVM model. Although the current estimation result is satisfactory, it can still be improved in the future by using different functions and parameters.</w:t>
      </w:r>
    </w:p>
    <w:p w14:paraId="1EF2FC7B" w14:textId="1862A1BB" w:rsidR="006F1481" w:rsidRPr="00893973" w:rsidRDefault="006F1481" w:rsidP="00893973">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Moreover, we did not manage to implement the jump model in the option price estimation because it is kind of tricky to find out the feasible parameters for the model. But it could improve the prediction precision if successfully implemented.</w:t>
      </w:r>
    </w:p>
    <w:p w14:paraId="2139AED7" w14:textId="3DBEF676" w:rsidR="00204C0A" w:rsidRPr="002D34E6" w:rsidRDefault="002D34E6" w:rsidP="002D34E6">
      <w:pPr>
        <w:pStyle w:val="Heading1"/>
        <w:numPr>
          <w:ilvl w:val="0"/>
          <w:numId w:val="1"/>
        </w:numPr>
        <w:rPr>
          <w:rFonts w:ascii="Times New Roman" w:hAnsi="Times New Roman" w:cs="Times New Roman"/>
        </w:rPr>
      </w:pPr>
      <w:bookmarkStart w:id="8" w:name="_Toc4302683"/>
      <w:r w:rsidRPr="002D34E6">
        <w:rPr>
          <w:rFonts w:ascii="Times New Roman" w:hAnsi="Times New Roman" w:cs="Times New Roman"/>
        </w:rPr>
        <w:t>Conclusion</w:t>
      </w:r>
      <w:bookmarkEnd w:id="8"/>
    </w:p>
    <w:p w14:paraId="238EDD5F" w14:textId="1C967C9A" w:rsidR="00204C0A" w:rsidRDefault="00893973" w:rsidP="00B50E25">
      <w:pPr>
        <w:spacing w:beforeLines="50" w:before="156" w:line="360" w:lineRule="auto"/>
        <w:rPr>
          <w:rFonts w:ascii="Times New Roman" w:hAnsi="Times New Roman" w:cs="Times New Roman"/>
          <w:sz w:val="24"/>
          <w:szCs w:val="24"/>
        </w:rPr>
      </w:pPr>
      <w:r>
        <w:rPr>
          <w:rFonts w:ascii="Times New Roman" w:hAnsi="Times New Roman" w:cs="Times New Roman"/>
          <w:sz w:val="24"/>
          <w:szCs w:val="24"/>
        </w:rPr>
        <w:t xml:space="preserve">In this research, we used BSM model to estimate option price using different volatilities. Historical volatility is the volatility of stock in the history. It is a constant value, which is in line with the BSM model’s assumption. Implied volatility is the forward-looking volatility calculated from the option price. The two volatilities are used and compared </w:t>
      </w:r>
      <w:r>
        <w:rPr>
          <w:rFonts w:ascii="Times New Roman" w:hAnsi="Times New Roman" w:cs="Times New Roman"/>
          <w:sz w:val="24"/>
          <w:szCs w:val="24"/>
        </w:rPr>
        <w:lastRenderedPageBreak/>
        <w:t xml:space="preserve">in the option pricing. We found that the implied volatility can provide a much better estimation of the option price. This </w:t>
      </w:r>
      <w:r w:rsidR="006F1481">
        <w:rPr>
          <w:rFonts w:ascii="Times New Roman" w:hAnsi="Times New Roman" w:cs="Times New Roman"/>
          <w:sz w:val="24"/>
          <w:szCs w:val="24"/>
        </w:rPr>
        <w:t>may be</w:t>
      </w:r>
      <w:r>
        <w:rPr>
          <w:rFonts w:ascii="Times New Roman" w:hAnsi="Times New Roman" w:cs="Times New Roman"/>
          <w:sz w:val="24"/>
          <w:szCs w:val="24"/>
        </w:rPr>
        <w:t xml:space="preserve"> due to the forward-looking feature of it. </w:t>
      </w:r>
      <w:r w:rsidR="006F1481">
        <w:rPr>
          <w:rFonts w:ascii="Times New Roman" w:hAnsi="Times New Roman" w:cs="Times New Roman"/>
          <w:sz w:val="24"/>
          <w:szCs w:val="24"/>
        </w:rPr>
        <w:t>And historical volatility may also be affected by the historical market events which may not exi</w:t>
      </w:r>
      <w:r w:rsidR="00847E43">
        <w:rPr>
          <w:rFonts w:ascii="Times New Roman" w:hAnsi="Times New Roman" w:cs="Times New Roman" w:hint="eastAsia"/>
          <w:sz w:val="24"/>
          <w:szCs w:val="24"/>
        </w:rPr>
        <w:t>s</w:t>
      </w:r>
      <w:r w:rsidR="006F1481">
        <w:rPr>
          <w:rFonts w:ascii="Times New Roman" w:hAnsi="Times New Roman" w:cs="Times New Roman"/>
          <w:sz w:val="24"/>
          <w:szCs w:val="24"/>
        </w:rPr>
        <w:t>t today. Implied volatility only considers the current market and current sentimental of the market, which is obviously more feasible.</w:t>
      </w:r>
    </w:p>
    <w:p w14:paraId="2C4CA653" w14:textId="77777777" w:rsidR="00893973" w:rsidRPr="002D34E6" w:rsidRDefault="00893973" w:rsidP="00B50E25">
      <w:pPr>
        <w:spacing w:beforeLines="50" w:before="156" w:line="360" w:lineRule="auto"/>
        <w:rPr>
          <w:rFonts w:ascii="Times New Roman" w:hAnsi="Times New Roman" w:cs="Times New Roman"/>
          <w:sz w:val="24"/>
          <w:szCs w:val="24"/>
        </w:rPr>
      </w:pPr>
    </w:p>
    <w:p w14:paraId="26698FF8" w14:textId="77777777" w:rsidR="00702E94" w:rsidRPr="00B50E25" w:rsidRDefault="00702E94" w:rsidP="00B50E25">
      <w:pPr>
        <w:spacing w:beforeLines="50" w:before="156" w:line="360" w:lineRule="auto"/>
        <w:rPr>
          <w:rFonts w:ascii="Times New Roman" w:hAnsi="Times New Roman" w:cs="Times New Roman"/>
          <w:sz w:val="24"/>
          <w:szCs w:val="24"/>
        </w:rPr>
      </w:pPr>
    </w:p>
    <w:p w14:paraId="5A027204" w14:textId="2ADCE649" w:rsidR="00204C0A" w:rsidRPr="00512C52" w:rsidRDefault="00204C0A" w:rsidP="00CA6B80">
      <w:pPr>
        <w:rPr>
          <w:rFonts w:ascii="Times New Roman" w:hAnsi="Times New Roman" w:cs="Times New Roman"/>
        </w:rPr>
      </w:pPr>
    </w:p>
    <w:p w14:paraId="5072F3D6" w14:textId="1AE34433" w:rsidR="00CA1C63" w:rsidRDefault="00CA1C63" w:rsidP="00CA6B80">
      <w:pPr>
        <w:rPr>
          <w:rFonts w:ascii="Times New Roman" w:hAnsi="Times New Roman" w:cs="Times New Roman"/>
        </w:rPr>
      </w:pPr>
    </w:p>
    <w:p w14:paraId="1BBC1406" w14:textId="1958E633" w:rsidR="006F1481" w:rsidRDefault="006F1481" w:rsidP="00CA6B80">
      <w:pPr>
        <w:rPr>
          <w:rFonts w:ascii="Times New Roman" w:hAnsi="Times New Roman" w:cs="Times New Roman"/>
        </w:rPr>
      </w:pPr>
    </w:p>
    <w:p w14:paraId="0283F8F7" w14:textId="4FAFDBEC" w:rsidR="006F1481" w:rsidRDefault="006F1481" w:rsidP="00CA6B80">
      <w:pPr>
        <w:rPr>
          <w:rFonts w:ascii="Times New Roman" w:hAnsi="Times New Roman" w:cs="Times New Roman"/>
        </w:rPr>
      </w:pPr>
    </w:p>
    <w:p w14:paraId="2894CD2B" w14:textId="0D9C8665" w:rsidR="006F1481" w:rsidRDefault="006F1481" w:rsidP="00CA6B80">
      <w:pPr>
        <w:rPr>
          <w:rFonts w:ascii="Times New Roman" w:hAnsi="Times New Roman" w:cs="Times New Roman"/>
        </w:rPr>
      </w:pPr>
    </w:p>
    <w:p w14:paraId="48DC7A20" w14:textId="433C6D45" w:rsidR="006F1481" w:rsidRDefault="006F1481" w:rsidP="00CA6B80">
      <w:pPr>
        <w:rPr>
          <w:rFonts w:ascii="Times New Roman" w:hAnsi="Times New Roman" w:cs="Times New Roman"/>
        </w:rPr>
      </w:pPr>
    </w:p>
    <w:p w14:paraId="0038C75D" w14:textId="0F1BD4A0" w:rsidR="006F1481" w:rsidRDefault="006F1481" w:rsidP="00CA6B80">
      <w:pPr>
        <w:rPr>
          <w:rFonts w:ascii="Times New Roman" w:hAnsi="Times New Roman" w:cs="Times New Roman"/>
        </w:rPr>
      </w:pPr>
    </w:p>
    <w:p w14:paraId="39B8C9E1" w14:textId="080C854F" w:rsidR="006F1481" w:rsidRDefault="006F1481" w:rsidP="00CA6B80">
      <w:pPr>
        <w:rPr>
          <w:rFonts w:ascii="Times New Roman" w:hAnsi="Times New Roman" w:cs="Times New Roman"/>
        </w:rPr>
      </w:pPr>
    </w:p>
    <w:p w14:paraId="6362E27B" w14:textId="45FCC750" w:rsidR="006F1481" w:rsidRDefault="006F1481" w:rsidP="00CA6B80">
      <w:pPr>
        <w:rPr>
          <w:rFonts w:ascii="Times New Roman" w:hAnsi="Times New Roman" w:cs="Times New Roman"/>
        </w:rPr>
      </w:pPr>
    </w:p>
    <w:p w14:paraId="0D772AF9" w14:textId="007445A7" w:rsidR="006F1481" w:rsidRDefault="006F1481" w:rsidP="00CA6B80">
      <w:pPr>
        <w:rPr>
          <w:rFonts w:ascii="Times New Roman" w:hAnsi="Times New Roman" w:cs="Times New Roman"/>
        </w:rPr>
      </w:pPr>
    </w:p>
    <w:p w14:paraId="07A0B8F1" w14:textId="2E498252" w:rsidR="006F1481" w:rsidRDefault="006F1481" w:rsidP="00CA6B80">
      <w:pPr>
        <w:rPr>
          <w:rFonts w:ascii="Times New Roman" w:hAnsi="Times New Roman" w:cs="Times New Roman"/>
        </w:rPr>
      </w:pPr>
    </w:p>
    <w:p w14:paraId="55195DB4" w14:textId="492C9B08" w:rsidR="006F1481" w:rsidRDefault="006F1481" w:rsidP="00CA6B80">
      <w:pPr>
        <w:rPr>
          <w:rFonts w:ascii="Times New Roman" w:hAnsi="Times New Roman" w:cs="Times New Roman"/>
        </w:rPr>
      </w:pPr>
    </w:p>
    <w:p w14:paraId="4F44572D" w14:textId="0BD127F3" w:rsidR="006F1481" w:rsidRDefault="006F1481" w:rsidP="00CA6B80">
      <w:pPr>
        <w:rPr>
          <w:rFonts w:ascii="Times New Roman" w:hAnsi="Times New Roman" w:cs="Times New Roman"/>
        </w:rPr>
      </w:pPr>
    </w:p>
    <w:p w14:paraId="71F65D81" w14:textId="136E21F7" w:rsidR="006F1481" w:rsidRDefault="006F1481" w:rsidP="00CA6B80">
      <w:pPr>
        <w:rPr>
          <w:rFonts w:ascii="Times New Roman" w:hAnsi="Times New Roman" w:cs="Times New Roman"/>
        </w:rPr>
      </w:pPr>
    </w:p>
    <w:p w14:paraId="0319BD34" w14:textId="0D7C1769" w:rsidR="006F1481" w:rsidRDefault="006F1481" w:rsidP="00CA6B80">
      <w:pPr>
        <w:rPr>
          <w:rFonts w:ascii="Times New Roman" w:hAnsi="Times New Roman" w:cs="Times New Roman"/>
        </w:rPr>
      </w:pPr>
    </w:p>
    <w:p w14:paraId="6C9ACE5E" w14:textId="09EBD7F9" w:rsidR="006F1481" w:rsidRDefault="006F1481" w:rsidP="00CA6B80">
      <w:pPr>
        <w:rPr>
          <w:rFonts w:ascii="Times New Roman" w:hAnsi="Times New Roman" w:cs="Times New Roman"/>
        </w:rPr>
      </w:pPr>
    </w:p>
    <w:p w14:paraId="37C92D9F" w14:textId="3BE7EF26" w:rsidR="006F1481" w:rsidRDefault="006F1481" w:rsidP="00CA6B80">
      <w:pPr>
        <w:rPr>
          <w:rFonts w:ascii="Times New Roman" w:hAnsi="Times New Roman" w:cs="Times New Roman"/>
        </w:rPr>
      </w:pPr>
    </w:p>
    <w:p w14:paraId="4BCE5C19" w14:textId="46AFF603" w:rsidR="006F1481" w:rsidRDefault="006F1481" w:rsidP="00CA6B80">
      <w:pPr>
        <w:rPr>
          <w:rFonts w:ascii="Times New Roman" w:hAnsi="Times New Roman" w:cs="Times New Roman"/>
        </w:rPr>
      </w:pPr>
    </w:p>
    <w:p w14:paraId="677D9D24" w14:textId="590255ED" w:rsidR="006F1481" w:rsidRDefault="006F1481" w:rsidP="00CA6B80">
      <w:pPr>
        <w:rPr>
          <w:rFonts w:ascii="Times New Roman" w:hAnsi="Times New Roman" w:cs="Times New Roman"/>
        </w:rPr>
      </w:pPr>
    </w:p>
    <w:p w14:paraId="49A75BDC" w14:textId="347BDCF1" w:rsidR="006F1481" w:rsidRDefault="006F1481" w:rsidP="00CA6B80">
      <w:pPr>
        <w:rPr>
          <w:rFonts w:ascii="Times New Roman" w:hAnsi="Times New Roman" w:cs="Times New Roman"/>
        </w:rPr>
      </w:pPr>
    </w:p>
    <w:p w14:paraId="0ED7D11C" w14:textId="087DE48F" w:rsidR="006F1481" w:rsidRDefault="006F1481" w:rsidP="00CA6B80">
      <w:pPr>
        <w:rPr>
          <w:rFonts w:ascii="Times New Roman" w:hAnsi="Times New Roman" w:cs="Times New Roman"/>
        </w:rPr>
      </w:pPr>
    </w:p>
    <w:p w14:paraId="60B5FD11" w14:textId="40BA5B14" w:rsidR="006F1481" w:rsidRDefault="006F1481" w:rsidP="00CA6B80">
      <w:pPr>
        <w:rPr>
          <w:rFonts w:ascii="Times New Roman" w:hAnsi="Times New Roman" w:cs="Times New Roman"/>
        </w:rPr>
      </w:pPr>
    </w:p>
    <w:p w14:paraId="4844E94E" w14:textId="16B7236A" w:rsidR="006F1481" w:rsidRDefault="006F1481" w:rsidP="00CA6B80">
      <w:pPr>
        <w:rPr>
          <w:rFonts w:ascii="Times New Roman" w:hAnsi="Times New Roman" w:cs="Times New Roman"/>
        </w:rPr>
      </w:pPr>
    </w:p>
    <w:p w14:paraId="0AD65754" w14:textId="5BE0DF5F" w:rsidR="006F1481" w:rsidRDefault="006F1481" w:rsidP="00CA6B80">
      <w:pPr>
        <w:rPr>
          <w:rFonts w:ascii="Times New Roman" w:hAnsi="Times New Roman" w:cs="Times New Roman"/>
        </w:rPr>
      </w:pPr>
    </w:p>
    <w:p w14:paraId="5CE61FA5" w14:textId="0358D882" w:rsidR="006F1481" w:rsidRDefault="006F1481" w:rsidP="00CA6B80">
      <w:pPr>
        <w:rPr>
          <w:rFonts w:ascii="Times New Roman" w:hAnsi="Times New Roman" w:cs="Times New Roman"/>
        </w:rPr>
      </w:pPr>
    </w:p>
    <w:p w14:paraId="0276A55C" w14:textId="1CB25B65" w:rsidR="006F1481" w:rsidRDefault="006F1481" w:rsidP="00CA6B80">
      <w:pPr>
        <w:rPr>
          <w:rFonts w:ascii="Times New Roman" w:hAnsi="Times New Roman" w:cs="Times New Roman"/>
        </w:rPr>
      </w:pPr>
    </w:p>
    <w:p w14:paraId="0168E22D" w14:textId="2FB99078" w:rsidR="006F1481" w:rsidRDefault="006F1481" w:rsidP="00CA6B80">
      <w:pPr>
        <w:rPr>
          <w:rFonts w:ascii="Times New Roman" w:hAnsi="Times New Roman" w:cs="Times New Roman"/>
        </w:rPr>
      </w:pPr>
    </w:p>
    <w:p w14:paraId="7CE8274E" w14:textId="7138CD43" w:rsidR="006F1481" w:rsidRDefault="006F1481" w:rsidP="00CA6B80">
      <w:pPr>
        <w:rPr>
          <w:rFonts w:ascii="Times New Roman" w:hAnsi="Times New Roman" w:cs="Times New Roman"/>
        </w:rPr>
      </w:pPr>
    </w:p>
    <w:p w14:paraId="2B27778E" w14:textId="242251F0" w:rsidR="006F1481" w:rsidRDefault="006F1481" w:rsidP="00CA6B80">
      <w:pPr>
        <w:rPr>
          <w:rFonts w:ascii="Times New Roman" w:hAnsi="Times New Roman" w:cs="Times New Roman"/>
        </w:rPr>
      </w:pPr>
    </w:p>
    <w:p w14:paraId="53AE2560" w14:textId="5ADCAEC3" w:rsidR="006F1481" w:rsidRDefault="006F1481" w:rsidP="00CA6B80">
      <w:pPr>
        <w:rPr>
          <w:rFonts w:ascii="Times New Roman" w:hAnsi="Times New Roman" w:cs="Times New Roman"/>
        </w:rPr>
      </w:pPr>
    </w:p>
    <w:p w14:paraId="5F295557" w14:textId="77777777" w:rsidR="006F1481" w:rsidRDefault="006F1481" w:rsidP="00CA6B80">
      <w:pPr>
        <w:rPr>
          <w:rFonts w:ascii="Times New Roman" w:hAnsi="Times New Roman" w:cs="Times New Roman"/>
        </w:rPr>
      </w:pPr>
    </w:p>
    <w:p w14:paraId="08FEB415" w14:textId="0EC6D50F" w:rsidR="006F1481" w:rsidRDefault="006F1481" w:rsidP="00CA6B80">
      <w:pPr>
        <w:rPr>
          <w:rFonts w:ascii="Times New Roman" w:hAnsi="Times New Roman" w:cs="Times New Roman"/>
        </w:rPr>
      </w:pPr>
    </w:p>
    <w:p w14:paraId="329CFA1E" w14:textId="77777777" w:rsidR="006F1481" w:rsidRPr="00512C52" w:rsidRDefault="006F1481" w:rsidP="00CA6B80">
      <w:pPr>
        <w:rPr>
          <w:rFonts w:ascii="Times New Roman" w:hAnsi="Times New Roman" w:cs="Times New Roman"/>
        </w:rPr>
      </w:pPr>
    </w:p>
    <w:p w14:paraId="770059A8" w14:textId="10FA7916" w:rsidR="00512C52" w:rsidRPr="00512C52" w:rsidRDefault="00512C52" w:rsidP="00512C52">
      <w:pPr>
        <w:pStyle w:val="Heading1"/>
        <w:rPr>
          <w:rFonts w:ascii="Times New Roman" w:hAnsi="Times New Roman" w:cs="Times New Roman"/>
          <w:shd w:val="clear" w:color="auto" w:fill="FFFFFF"/>
        </w:rPr>
      </w:pPr>
      <w:bookmarkStart w:id="9" w:name="_Toc4302684"/>
      <w:r w:rsidRPr="00512C52">
        <w:rPr>
          <w:rFonts w:ascii="Times New Roman" w:hAnsi="Times New Roman" w:cs="Times New Roman"/>
          <w:shd w:val="clear" w:color="auto" w:fill="FFFFFF"/>
        </w:rPr>
        <w:lastRenderedPageBreak/>
        <w:t>References</w:t>
      </w:r>
      <w:bookmarkEnd w:id="9"/>
    </w:p>
    <w:p w14:paraId="4FCF1CEE" w14:textId="2E6F1834" w:rsidR="00964757" w:rsidRPr="00512C52" w:rsidRDefault="00964757" w:rsidP="00512C52">
      <w:pPr>
        <w:spacing w:beforeLines="50" w:before="156" w:line="360" w:lineRule="auto"/>
        <w:rPr>
          <w:rFonts w:ascii="Times New Roman" w:hAnsi="Times New Roman" w:cs="Times New Roman"/>
          <w:color w:val="222222"/>
          <w:sz w:val="22"/>
          <w:szCs w:val="20"/>
          <w:shd w:val="clear" w:color="auto" w:fill="FFFFFF"/>
        </w:rPr>
      </w:pPr>
      <w:proofErr w:type="spellStart"/>
      <w:r w:rsidRPr="00512C52">
        <w:rPr>
          <w:rFonts w:ascii="Times New Roman" w:hAnsi="Times New Roman" w:cs="Times New Roman"/>
          <w:color w:val="222222"/>
          <w:sz w:val="22"/>
          <w:szCs w:val="20"/>
          <w:shd w:val="clear" w:color="auto" w:fill="FFFFFF"/>
        </w:rPr>
        <w:t>Teneng</w:t>
      </w:r>
      <w:proofErr w:type="spellEnd"/>
      <w:r w:rsidRPr="00512C52">
        <w:rPr>
          <w:rFonts w:ascii="Times New Roman" w:hAnsi="Times New Roman" w:cs="Times New Roman"/>
          <w:color w:val="222222"/>
          <w:sz w:val="22"/>
          <w:szCs w:val="20"/>
          <w:shd w:val="clear" w:color="auto" w:fill="FFFFFF"/>
        </w:rPr>
        <w:t>, D. (2011). Limitations of the Black-Scholes model. </w:t>
      </w:r>
      <w:r w:rsidRPr="00512C52">
        <w:rPr>
          <w:rFonts w:ascii="Times New Roman" w:hAnsi="Times New Roman" w:cs="Times New Roman"/>
          <w:i/>
          <w:iCs/>
          <w:color w:val="222222"/>
          <w:sz w:val="22"/>
          <w:szCs w:val="20"/>
          <w:shd w:val="clear" w:color="auto" w:fill="FFFFFF"/>
        </w:rPr>
        <w:t>Collection of Papers 2011–Volume I</w:t>
      </w:r>
      <w:r w:rsidRPr="00512C52">
        <w:rPr>
          <w:rFonts w:ascii="Times New Roman" w:hAnsi="Times New Roman" w:cs="Times New Roman"/>
          <w:color w:val="222222"/>
          <w:sz w:val="22"/>
          <w:szCs w:val="20"/>
          <w:shd w:val="clear" w:color="auto" w:fill="FFFFFF"/>
        </w:rPr>
        <w:t>, 143.</w:t>
      </w:r>
    </w:p>
    <w:p w14:paraId="17C9DDDE" w14:textId="1ADD8755" w:rsidR="00E33375" w:rsidRPr="00512C52" w:rsidRDefault="00CA1C63" w:rsidP="00512C52">
      <w:pPr>
        <w:spacing w:beforeLines="50" w:before="156" w:line="360" w:lineRule="auto"/>
        <w:rPr>
          <w:rFonts w:ascii="Times New Roman" w:hAnsi="Times New Roman" w:cs="Times New Roman"/>
          <w:color w:val="222222"/>
          <w:sz w:val="22"/>
          <w:szCs w:val="20"/>
          <w:shd w:val="clear" w:color="auto" w:fill="FFFFFF"/>
        </w:rPr>
      </w:pPr>
      <w:r w:rsidRPr="00512C52">
        <w:rPr>
          <w:rFonts w:ascii="Times New Roman" w:hAnsi="Times New Roman" w:cs="Times New Roman"/>
          <w:color w:val="222222"/>
          <w:sz w:val="22"/>
          <w:szCs w:val="20"/>
          <w:shd w:val="clear" w:color="auto" w:fill="FFFFFF"/>
        </w:rPr>
        <w:t>Lewis, A. L. (2001). A simple option formula for general jump-diffusion and other exponential Lévy processes. </w:t>
      </w:r>
      <w:r w:rsidRPr="00512C52">
        <w:rPr>
          <w:rFonts w:ascii="Times New Roman" w:hAnsi="Times New Roman" w:cs="Times New Roman"/>
          <w:i/>
          <w:iCs/>
          <w:color w:val="222222"/>
          <w:sz w:val="22"/>
          <w:szCs w:val="20"/>
          <w:shd w:val="clear" w:color="auto" w:fill="FFFFFF"/>
        </w:rPr>
        <w:t>Available at SSRN 282110</w:t>
      </w:r>
      <w:r w:rsidRPr="00512C52">
        <w:rPr>
          <w:rFonts w:ascii="Times New Roman" w:hAnsi="Times New Roman" w:cs="Times New Roman"/>
          <w:color w:val="222222"/>
          <w:sz w:val="22"/>
          <w:szCs w:val="20"/>
          <w:shd w:val="clear" w:color="auto" w:fill="FFFFFF"/>
        </w:rPr>
        <w:t>.</w:t>
      </w:r>
    </w:p>
    <w:p w14:paraId="73896E7B" w14:textId="3C6DACCE" w:rsidR="00E33375" w:rsidRPr="00512C52" w:rsidRDefault="00CA1C63" w:rsidP="00512C52">
      <w:pPr>
        <w:spacing w:beforeLines="50" w:before="156" w:line="360" w:lineRule="auto"/>
        <w:rPr>
          <w:rFonts w:ascii="Times New Roman" w:hAnsi="Times New Roman" w:cs="Times New Roman"/>
          <w:color w:val="222222"/>
          <w:sz w:val="22"/>
          <w:szCs w:val="20"/>
          <w:shd w:val="clear" w:color="auto" w:fill="FFFFFF"/>
        </w:rPr>
      </w:pPr>
      <w:r w:rsidRPr="00512C52">
        <w:rPr>
          <w:rFonts w:ascii="Times New Roman" w:hAnsi="Times New Roman" w:cs="Times New Roman"/>
          <w:color w:val="222222"/>
          <w:sz w:val="22"/>
          <w:szCs w:val="20"/>
          <w:shd w:val="clear" w:color="auto" w:fill="FFFFFF"/>
        </w:rPr>
        <w:t>Kou, S. G., &amp; Wang, H. (2004). Option pricing under a double exponential jump diffusion model. </w:t>
      </w:r>
      <w:r w:rsidRPr="00512C52">
        <w:rPr>
          <w:rFonts w:ascii="Times New Roman" w:hAnsi="Times New Roman" w:cs="Times New Roman"/>
          <w:i/>
          <w:iCs/>
          <w:color w:val="222222"/>
          <w:sz w:val="22"/>
          <w:szCs w:val="20"/>
          <w:shd w:val="clear" w:color="auto" w:fill="FFFFFF"/>
        </w:rPr>
        <w:t>Management science</w:t>
      </w:r>
      <w:r w:rsidRPr="00512C52">
        <w:rPr>
          <w:rFonts w:ascii="Times New Roman" w:hAnsi="Times New Roman" w:cs="Times New Roman"/>
          <w:color w:val="222222"/>
          <w:sz w:val="22"/>
          <w:szCs w:val="20"/>
          <w:shd w:val="clear" w:color="auto" w:fill="FFFFFF"/>
        </w:rPr>
        <w:t>, </w:t>
      </w:r>
      <w:r w:rsidRPr="00512C52">
        <w:rPr>
          <w:rFonts w:ascii="Times New Roman" w:hAnsi="Times New Roman" w:cs="Times New Roman"/>
          <w:i/>
          <w:iCs/>
          <w:color w:val="222222"/>
          <w:sz w:val="22"/>
          <w:szCs w:val="20"/>
          <w:shd w:val="clear" w:color="auto" w:fill="FFFFFF"/>
        </w:rPr>
        <w:t>50</w:t>
      </w:r>
      <w:r w:rsidRPr="00512C52">
        <w:rPr>
          <w:rFonts w:ascii="Times New Roman" w:hAnsi="Times New Roman" w:cs="Times New Roman"/>
          <w:color w:val="222222"/>
          <w:sz w:val="22"/>
          <w:szCs w:val="20"/>
          <w:shd w:val="clear" w:color="auto" w:fill="FFFFFF"/>
        </w:rPr>
        <w:t>(9), 1178-1192.</w:t>
      </w:r>
    </w:p>
    <w:p w14:paraId="568B24DD" w14:textId="690DD538" w:rsidR="00CA1C63" w:rsidRPr="00512C52" w:rsidRDefault="00CA1C63" w:rsidP="00512C52">
      <w:pPr>
        <w:spacing w:beforeLines="50" w:before="156" w:line="360" w:lineRule="auto"/>
        <w:rPr>
          <w:rFonts w:ascii="Times New Roman" w:hAnsi="Times New Roman" w:cs="Times New Roman"/>
          <w:color w:val="222222"/>
          <w:sz w:val="22"/>
          <w:szCs w:val="20"/>
          <w:shd w:val="clear" w:color="auto" w:fill="FFFFFF"/>
        </w:rPr>
      </w:pPr>
      <w:proofErr w:type="spellStart"/>
      <w:r w:rsidRPr="00512C52">
        <w:rPr>
          <w:rFonts w:ascii="Times New Roman" w:hAnsi="Times New Roman" w:cs="Times New Roman"/>
          <w:color w:val="222222"/>
          <w:sz w:val="22"/>
          <w:szCs w:val="20"/>
          <w:shd w:val="clear" w:color="auto" w:fill="FFFFFF"/>
        </w:rPr>
        <w:t>Andreevska</w:t>
      </w:r>
      <w:proofErr w:type="spellEnd"/>
      <w:r w:rsidRPr="00512C52">
        <w:rPr>
          <w:rFonts w:ascii="Times New Roman" w:hAnsi="Times New Roman" w:cs="Times New Roman"/>
          <w:color w:val="222222"/>
          <w:sz w:val="22"/>
          <w:szCs w:val="20"/>
          <w:shd w:val="clear" w:color="auto" w:fill="FFFFFF"/>
        </w:rPr>
        <w:t>, I. (2008). Mathematical modeling and analysis of options with jump-diffusion volatility.</w:t>
      </w:r>
    </w:p>
    <w:p w14:paraId="52B9BD01" w14:textId="447A7153" w:rsidR="00512C52" w:rsidRPr="00512C52" w:rsidRDefault="00512C52" w:rsidP="00512C52">
      <w:pPr>
        <w:spacing w:beforeLines="50" w:before="156" w:line="360" w:lineRule="auto"/>
        <w:rPr>
          <w:rFonts w:ascii="Times New Roman" w:hAnsi="Times New Roman" w:cs="Times New Roman"/>
          <w:color w:val="222222"/>
          <w:sz w:val="24"/>
          <w:szCs w:val="20"/>
          <w:shd w:val="clear" w:color="auto" w:fill="FFFFFF"/>
        </w:rPr>
      </w:pPr>
      <w:proofErr w:type="spellStart"/>
      <w:r w:rsidRPr="00512C52">
        <w:rPr>
          <w:rFonts w:ascii="Times New Roman" w:hAnsi="Times New Roman" w:cs="Times New Roman"/>
          <w:color w:val="222222"/>
          <w:sz w:val="22"/>
          <w:szCs w:val="20"/>
          <w:shd w:val="clear" w:color="auto" w:fill="FFFFFF"/>
        </w:rPr>
        <w:t>Gatheral</w:t>
      </w:r>
      <w:proofErr w:type="spellEnd"/>
      <w:r w:rsidRPr="00512C52">
        <w:rPr>
          <w:rFonts w:ascii="Times New Roman" w:hAnsi="Times New Roman" w:cs="Times New Roman"/>
          <w:color w:val="222222"/>
          <w:sz w:val="22"/>
          <w:szCs w:val="20"/>
          <w:shd w:val="clear" w:color="auto" w:fill="FFFFFF"/>
        </w:rPr>
        <w:t>, J. (2010). Jump</w:t>
      </w:r>
      <w:r w:rsidRPr="00512C52">
        <w:rPr>
          <w:rFonts w:ascii="Times New Roman" w:eastAsia="Microsoft YaHei" w:hAnsi="Times New Roman" w:cs="Times New Roman"/>
          <w:color w:val="222222"/>
          <w:sz w:val="22"/>
          <w:szCs w:val="20"/>
          <w:shd w:val="clear" w:color="auto" w:fill="FFFFFF"/>
        </w:rPr>
        <w:t>‐</w:t>
      </w:r>
      <w:r w:rsidRPr="00512C52">
        <w:rPr>
          <w:rFonts w:ascii="Times New Roman" w:hAnsi="Times New Roman" w:cs="Times New Roman"/>
          <w:color w:val="222222"/>
          <w:sz w:val="22"/>
          <w:szCs w:val="20"/>
          <w:shd w:val="clear" w:color="auto" w:fill="FFFFFF"/>
        </w:rPr>
        <w:t>Diffusion Models. </w:t>
      </w:r>
      <w:r w:rsidRPr="00512C52">
        <w:rPr>
          <w:rFonts w:ascii="Times New Roman" w:hAnsi="Times New Roman" w:cs="Times New Roman"/>
          <w:i/>
          <w:iCs/>
          <w:color w:val="222222"/>
          <w:sz w:val="22"/>
          <w:szCs w:val="20"/>
          <w:shd w:val="clear" w:color="auto" w:fill="FFFFFF"/>
        </w:rPr>
        <w:t>Encyclopedia of Quantitative Finance</w:t>
      </w:r>
      <w:r w:rsidRPr="00512C52">
        <w:rPr>
          <w:rFonts w:ascii="Times New Roman" w:hAnsi="Times New Roman" w:cs="Times New Roman"/>
          <w:color w:val="222222"/>
          <w:sz w:val="22"/>
          <w:szCs w:val="20"/>
          <w:shd w:val="clear" w:color="auto" w:fill="FFFFFF"/>
        </w:rPr>
        <w:t>.</w:t>
      </w:r>
    </w:p>
    <w:p w14:paraId="66B7D4BC" w14:textId="54C0E600" w:rsidR="00E33375" w:rsidRPr="00512C52" w:rsidRDefault="00E33375" w:rsidP="00E33375">
      <w:pPr>
        <w:jc w:val="center"/>
        <w:rPr>
          <w:rFonts w:ascii="Times New Roman" w:hAnsi="Times New Roman" w:cs="Times New Roman"/>
        </w:rPr>
      </w:pPr>
    </w:p>
    <w:p w14:paraId="07447A20" w14:textId="77777777" w:rsidR="00512C52" w:rsidRPr="00512C52" w:rsidRDefault="00512C52" w:rsidP="00E33375">
      <w:pPr>
        <w:jc w:val="center"/>
        <w:rPr>
          <w:rFonts w:ascii="Times New Roman" w:hAnsi="Times New Roman" w:cs="Times New Roman"/>
        </w:rPr>
      </w:pPr>
    </w:p>
    <w:p w14:paraId="52456BC8" w14:textId="1165F74E" w:rsidR="00E33375" w:rsidRPr="00512C52" w:rsidRDefault="00E33375" w:rsidP="00E33375">
      <w:pPr>
        <w:jc w:val="center"/>
        <w:rPr>
          <w:rFonts w:ascii="Times New Roman" w:hAnsi="Times New Roman" w:cs="Times New Roman"/>
        </w:rPr>
      </w:pPr>
    </w:p>
    <w:p w14:paraId="0FCD2CFA" w14:textId="5F062C75" w:rsidR="00E33375" w:rsidRPr="00512C52" w:rsidRDefault="00E33375" w:rsidP="00E33375">
      <w:pPr>
        <w:jc w:val="center"/>
        <w:rPr>
          <w:rFonts w:ascii="Times New Roman" w:hAnsi="Times New Roman" w:cs="Times New Roman"/>
        </w:rPr>
      </w:pPr>
    </w:p>
    <w:p w14:paraId="7A8289D9" w14:textId="0BB7CD7B" w:rsidR="00CA1C63" w:rsidRPr="00512C52" w:rsidRDefault="00CA1C63" w:rsidP="00CA1C63">
      <w:pPr>
        <w:pStyle w:val="Heading1"/>
        <w:rPr>
          <w:rFonts w:ascii="Times New Roman" w:hAnsi="Times New Roman" w:cs="Times New Roman"/>
        </w:rPr>
      </w:pPr>
      <w:bookmarkStart w:id="10" w:name="_Toc4302685"/>
      <w:r w:rsidRPr="00512C52">
        <w:rPr>
          <w:rFonts w:ascii="Times New Roman" w:hAnsi="Times New Roman" w:cs="Times New Roman"/>
        </w:rPr>
        <w:lastRenderedPageBreak/>
        <w:t>Appendices</w:t>
      </w:r>
      <w:bookmarkEnd w:id="10"/>
    </w:p>
    <w:p w14:paraId="07787CED" w14:textId="212B1C40" w:rsidR="00E33375" w:rsidRPr="00512C52" w:rsidRDefault="00372E23" w:rsidP="00E33375">
      <w:pPr>
        <w:jc w:val="center"/>
        <w:rPr>
          <w:rFonts w:ascii="Times New Roman" w:hAnsi="Times New Roman" w:cs="Times New Roman"/>
        </w:rPr>
      </w:pPr>
      <w:r w:rsidRPr="00512C52">
        <w:rPr>
          <w:rFonts w:ascii="Times New Roman" w:hAnsi="Times New Roman" w:cs="Times New Roman"/>
          <w:noProof/>
        </w:rPr>
        <w:drawing>
          <wp:inline distT="0" distB="0" distL="0" distR="0" wp14:anchorId="2422C526" wp14:editId="73577DD8">
            <wp:extent cx="4514215" cy="718756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215" cy="7187565"/>
                    </a:xfrm>
                    <a:prstGeom prst="rect">
                      <a:avLst/>
                    </a:prstGeom>
                    <a:noFill/>
                    <a:ln>
                      <a:noFill/>
                    </a:ln>
                  </pic:spPr>
                </pic:pic>
              </a:graphicData>
            </a:graphic>
          </wp:inline>
        </w:drawing>
      </w:r>
    </w:p>
    <w:p w14:paraId="0DE784F7" w14:textId="766563C1" w:rsidR="00372E23" w:rsidRPr="00512C52" w:rsidRDefault="00372E23" w:rsidP="00E33375">
      <w:pPr>
        <w:jc w:val="center"/>
        <w:rPr>
          <w:rFonts w:ascii="Times New Roman" w:hAnsi="Times New Roman" w:cs="Times New Roman"/>
        </w:rPr>
      </w:pPr>
    </w:p>
    <w:p w14:paraId="2AB0EAA9" w14:textId="0D8E7C9E" w:rsidR="00372E23" w:rsidRPr="00512C52" w:rsidRDefault="00372E23" w:rsidP="00E33375">
      <w:pPr>
        <w:jc w:val="center"/>
        <w:rPr>
          <w:rFonts w:ascii="Times New Roman" w:hAnsi="Times New Roman" w:cs="Times New Roman"/>
        </w:rPr>
      </w:pPr>
      <w:r w:rsidRPr="00512C52">
        <w:rPr>
          <w:rFonts w:ascii="Times New Roman" w:hAnsi="Times New Roman" w:cs="Times New Roman"/>
          <w:noProof/>
        </w:rPr>
        <w:lastRenderedPageBreak/>
        <w:drawing>
          <wp:inline distT="0" distB="0" distL="0" distR="0" wp14:anchorId="2A31979E" wp14:editId="30A41041">
            <wp:extent cx="4514215" cy="7187565"/>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215" cy="7187565"/>
                    </a:xfrm>
                    <a:prstGeom prst="rect">
                      <a:avLst/>
                    </a:prstGeom>
                    <a:noFill/>
                    <a:ln>
                      <a:noFill/>
                    </a:ln>
                  </pic:spPr>
                </pic:pic>
              </a:graphicData>
            </a:graphic>
          </wp:inline>
        </w:drawing>
      </w:r>
    </w:p>
    <w:p w14:paraId="2E4F7318" w14:textId="16202534" w:rsidR="00372E23" w:rsidRPr="00512C52" w:rsidRDefault="00372E23" w:rsidP="00E33375">
      <w:pPr>
        <w:jc w:val="center"/>
        <w:rPr>
          <w:rFonts w:ascii="Times New Roman" w:hAnsi="Times New Roman" w:cs="Times New Roman"/>
        </w:rPr>
      </w:pPr>
    </w:p>
    <w:p w14:paraId="6A3FF19D" w14:textId="21647084" w:rsidR="00372E23" w:rsidRPr="00512C52" w:rsidRDefault="00372E23" w:rsidP="00E33375">
      <w:pPr>
        <w:jc w:val="center"/>
        <w:rPr>
          <w:rFonts w:ascii="Times New Roman" w:hAnsi="Times New Roman" w:cs="Times New Roman"/>
        </w:rPr>
      </w:pPr>
      <w:r w:rsidRPr="00512C52">
        <w:rPr>
          <w:rFonts w:ascii="Times New Roman" w:hAnsi="Times New Roman" w:cs="Times New Roman"/>
          <w:noProof/>
        </w:rPr>
        <w:lastRenderedPageBreak/>
        <w:drawing>
          <wp:inline distT="0" distB="0" distL="0" distR="0" wp14:anchorId="4A2ACFF9" wp14:editId="588FD829">
            <wp:extent cx="4514215" cy="7187565"/>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215" cy="7187565"/>
                    </a:xfrm>
                    <a:prstGeom prst="rect">
                      <a:avLst/>
                    </a:prstGeom>
                    <a:noFill/>
                    <a:ln>
                      <a:noFill/>
                    </a:ln>
                  </pic:spPr>
                </pic:pic>
              </a:graphicData>
            </a:graphic>
          </wp:inline>
        </w:drawing>
      </w:r>
    </w:p>
    <w:sectPr w:rsidR="00372E23" w:rsidRPr="00512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75890" w14:textId="77777777" w:rsidR="00064BF3" w:rsidRDefault="00064BF3" w:rsidP="004C6051">
      <w:r>
        <w:separator/>
      </w:r>
    </w:p>
  </w:endnote>
  <w:endnote w:type="continuationSeparator" w:id="0">
    <w:p w14:paraId="467B8FB2" w14:textId="77777777" w:rsidR="00064BF3" w:rsidRDefault="00064BF3" w:rsidP="004C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0300" w14:textId="77777777" w:rsidR="00064BF3" w:rsidRDefault="00064BF3" w:rsidP="004C6051">
      <w:r>
        <w:separator/>
      </w:r>
    </w:p>
  </w:footnote>
  <w:footnote w:type="continuationSeparator" w:id="0">
    <w:p w14:paraId="76B72105" w14:textId="77777777" w:rsidR="00064BF3" w:rsidRDefault="00064BF3" w:rsidP="004C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C45"/>
    <w:multiLevelType w:val="hybridMultilevel"/>
    <w:tmpl w:val="AEC8D4CA"/>
    <w:lvl w:ilvl="0" w:tplc="30B627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EA1DE8"/>
    <w:multiLevelType w:val="hybridMultilevel"/>
    <w:tmpl w:val="F6F83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9A2138"/>
    <w:multiLevelType w:val="hybridMultilevel"/>
    <w:tmpl w:val="03041AA2"/>
    <w:lvl w:ilvl="0" w:tplc="3222B1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6C2747"/>
    <w:multiLevelType w:val="hybridMultilevel"/>
    <w:tmpl w:val="9EEAFF58"/>
    <w:lvl w:ilvl="0" w:tplc="1A1AD6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352D2A"/>
    <w:multiLevelType w:val="hybridMultilevel"/>
    <w:tmpl w:val="D2A6C690"/>
    <w:lvl w:ilvl="0" w:tplc="1A1AD6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E24853"/>
    <w:multiLevelType w:val="hybridMultilevel"/>
    <w:tmpl w:val="D0E6BBAA"/>
    <w:lvl w:ilvl="0" w:tplc="3222B15C">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43"/>
    <w:rsid w:val="00026BE5"/>
    <w:rsid w:val="00064BF3"/>
    <w:rsid w:val="000A2A29"/>
    <w:rsid w:val="000D2991"/>
    <w:rsid w:val="000F0949"/>
    <w:rsid w:val="000F7ED1"/>
    <w:rsid w:val="00165BA1"/>
    <w:rsid w:val="001B7738"/>
    <w:rsid w:val="001E4355"/>
    <w:rsid w:val="00204C0A"/>
    <w:rsid w:val="0021752A"/>
    <w:rsid w:val="00244C3F"/>
    <w:rsid w:val="002628E1"/>
    <w:rsid w:val="002749F7"/>
    <w:rsid w:val="002C4DAC"/>
    <w:rsid w:val="002D34E6"/>
    <w:rsid w:val="002E3781"/>
    <w:rsid w:val="00307D78"/>
    <w:rsid w:val="00372E23"/>
    <w:rsid w:val="00385ACE"/>
    <w:rsid w:val="00397D5B"/>
    <w:rsid w:val="003B5DC2"/>
    <w:rsid w:val="003D5B9C"/>
    <w:rsid w:val="0049733B"/>
    <w:rsid w:val="004C5875"/>
    <w:rsid w:val="004C6051"/>
    <w:rsid w:val="004E63C0"/>
    <w:rsid w:val="00512C52"/>
    <w:rsid w:val="0055478D"/>
    <w:rsid w:val="00593D5D"/>
    <w:rsid w:val="005B5995"/>
    <w:rsid w:val="005D4B9A"/>
    <w:rsid w:val="005F7121"/>
    <w:rsid w:val="00602D6B"/>
    <w:rsid w:val="00636C6A"/>
    <w:rsid w:val="00654985"/>
    <w:rsid w:val="006F1481"/>
    <w:rsid w:val="00702E94"/>
    <w:rsid w:val="007326F0"/>
    <w:rsid w:val="0075122B"/>
    <w:rsid w:val="00773060"/>
    <w:rsid w:val="007C4C2F"/>
    <w:rsid w:val="00847E43"/>
    <w:rsid w:val="00893973"/>
    <w:rsid w:val="008C7034"/>
    <w:rsid w:val="008E56F4"/>
    <w:rsid w:val="00926DAA"/>
    <w:rsid w:val="0095450B"/>
    <w:rsid w:val="00964757"/>
    <w:rsid w:val="009C2C91"/>
    <w:rsid w:val="00A16068"/>
    <w:rsid w:val="00A24A10"/>
    <w:rsid w:val="00A37B43"/>
    <w:rsid w:val="00A80025"/>
    <w:rsid w:val="00AA6221"/>
    <w:rsid w:val="00AA7F6F"/>
    <w:rsid w:val="00AE6BA7"/>
    <w:rsid w:val="00B2435D"/>
    <w:rsid w:val="00B50E25"/>
    <w:rsid w:val="00C2198E"/>
    <w:rsid w:val="00C545DA"/>
    <w:rsid w:val="00C620F5"/>
    <w:rsid w:val="00C937B9"/>
    <w:rsid w:val="00CA1C63"/>
    <w:rsid w:val="00CA6B80"/>
    <w:rsid w:val="00D01A24"/>
    <w:rsid w:val="00D1345F"/>
    <w:rsid w:val="00D574C3"/>
    <w:rsid w:val="00DC6F12"/>
    <w:rsid w:val="00DE3CF6"/>
    <w:rsid w:val="00E33375"/>
    <w:rsid w:val="00EB35EE"/>
    <w:rsid w:val="00EE7B18"/>
    <w:rsid w:val="00F021BC"/>
    <w:rsid w:val="00F0250E"/>
    <w:rsid w:val="00F64DF9"/>
    <w:rsid w:val="00F74747"/>
    <w:rsid w:val="00FA0A5D"/>
    <w:rsid w:val="00FE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5B853"/>
  <w15:chartTrackingRefBased/>
  <w15:docId w15:val="{BB38836A-2C0E-4879-8CE7-D27F62E4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B35E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EE"/>
    <w:rPr>
      <w:b/>
      <w:bCs/>
      <w:kern w:val="44"/>
      <w:sz w:val="44"/>
      <w:szCs w:val="44"/>
    </w:rPr>
  </w:style>
  <w:style w:type="paragraph" w:styleId="ListParagraph">
    <w:name w:val="List Paragraph"/>
    <w:basedOn w:val="Normal"/>
    <w:uiPriority w:val="34"/>
    <w:qFormat/>
    <w:rsid w:val="00CA6B80"/>
    <w:pPr>
      <w:ind w:firstLineChars="200" w:firstLine="420"/>
    </w:pPr>
  </w:style>
  <w:style w:type="paragraph" w:styleId="Header">
    <w:name w:val="header"/>
    <w:basedOn w:val="Normal"/>
    <w:link w:val="HeaderChar"/>
    <w:uiPriority w:val="99"/>
    <w:unhideWhenUsed/>
    <w:rsid w:val="004C60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6051"/>
    <w:rPr>
      <w:sz w:val="18"/>
      <w:szCs w:val="18"/>
    </w:rPr>
  </w:style>
  <w:style w:type="paragraph" w:styleId="Footer">
    <w:name w:val="footer"/>
    <w:basedOn w:val="Normal"/>
    <w:link w:val="FooterChar"/>
    <w:uiPriority w:val="99"/>
    <w:unhideWhenUsed/>
    <w:rsid w:val="004C60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6051"/>
    <w:rPr>
      <w:sz w:val="18"/>
      <w:szCs w:val="18"/>
    </w:rPr>
  </w:style>
  <w:style w:type="character" w:styleId="PlaceholderText">
    <w:name w:val="Placeholder Text"/>
    <w:basedOn w:val="DefaultParagraphFont"/>
    <w:uiPriority w:val="99"/>
    <w:semiHidden/>
    <w:rsid w:val="002E3781"/>
    <w:rPr>
      <w:color w:val="808080"/>
    </w:rPr>
  </w:style>
  <w:style w:type="table" w:styleId="TableGrid">
    <w:name w:val="Table Grid"/>
    <w:basedOn w:val="TableNormal"/>
    <w:uiPriority w:val="39"/>
    <w:rsid w:val="000F7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F7ED1"/>
    <w:rPr>
      <w:rFonts w:ascii="SimSun" w:eastAsia="SimSun" w:hAnsi="SimSun" w:cs="SimSun"/>
      <w:kern w:val="0"/>
      <w:sz w:val="24"/>
      <w:szCs w:val="24"/>
    </w:rPr>
  </w:style>
  <w:style w:type="character" w:customStyle="1" w:styleId="gnkrckgcmrb">
    <w:name w:val="gnkrckgcmrb"/>
    <w:basedOn w:val="DefaultParagraphFont"/>
    <w:rsid w:val="000F7ED1"/>
  </w:style>
  <w:style w:type="character" w:customStyle="1" w:styleId="gnkrckgcgsb">
    <w:name w:val="gnkrckgcgsb"/>
    <w:basedOn w:val="DefaultParagraphFont"/>
    <w:rsid w:val="000F7ED1"/>
  </w:style>
  <w:style w:type="character" w:customStyle="1" w:styleId="gnkrckgcmsb">
    <w:name w:val="gnkrckgcmsb"/>
    <w:basedOn w:val="DefaultParagraphFont"/>
    <w:rsid w:val="000F7ED1"/>
  </w:style>
  <w:style w:type="paragraph" w:styleId="BalloonText">
    <w:name w:val="Balloon Text"/>
    <w:basedOn w:val="Normal"/>
    <w:link w:val="BalloonTextChar"/>
    <w:uiPriority w:val="99"/>
    <w:semiHidden/>
    <w:unhideWhenUsed/>
    <w:rsid w:val="000F7ED1"/>
    <w:rPr>
      <w:sz w:val="18"/>
      <w:szCs w:val="18"/>
    </w:rPr>
  </w:style>
  <w:style w:type="character" w:customStyle="1" w:styleId="BalloonTextChar">
    <w:name w:val="Balloon Text Char"/>
    <w:basedOn w:val="DefaultParagraphFont"/>
    <w:link w:val="BalloonText"/>
    <w:uiPriority w:val="99"/>
    <w:semiHidden/>
    <w:rsid w:val="000F7ED1"/>
    <w:rPr>
      <w:sz w:val="18"/>
      <w:szCs w:val="18"/>
    </w:rPr>
  </w:style>
  <w:style w:type="paragraph" w:styleId="TOCHeading">
    <w:name w:val="TOC Heading"/>
    <w:basedOn w:val="Heading1"/>
    <w:next w:val="Normal"/>
    <w:uiPriority w:val="39"/>
    <w:unhideWhenUsed/>
    <w:qFormat/>
    <w:rsid w:val="00512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12C52"/>
    <w:pPr>
      <w:tabs>
        <w:tab w:val="left" w:pos="420"/>
        <w:tab w:val="right" w:leader="dot" w:pos="8296"/>
      </w:tabs>
      <w:spacing w:beforeLines="50" w:before="156" w:line="360" w:lineRule="auto"/>
    </w:pPr>
  </w:style>
  <w:style w:type="character" w:styleId="Hyperlink">
    <w:name w:val="Hyperlink"/>
    <w:basedOn w:val="DefaultParagraphFont"/>
    <w:uiPriority w:val="99"/>
    <w:unhideWhenUsed/>
    <w:rsid w:val="00512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9501">
      <w:bodyDiv w:val="1"/>
      <w:marLeft w:val="0"/>
      <w:marRight w:val="0"/>
      <w:marTop w:val="0"/>
      <w:marBottom w:val="0"/>
      <w:divBdr>
        <w:top w:val="none" w:sz="0" w:space="0" w:color="auto"/>
        <w:left w:val="none" w:sz="0" w:space="0" w:color="auto"/>
        <w:bottom w:val="none" w:sz="0" w:space="0" w:color="auto"/>
        <w:right w:val="none" w:sz="0" w:space="0" w:color="auto"/>
      </w:divBdr>
    </w:div>
    <w:div w:id="141167361">
      <w:bodyDiv w:val="1"/>
      <w:marLeft w:val="0"/>
      <w:marRight w:val="0"/>
      <w:marTop w:val="0"/>
      <w:marBottom w:val="0"/>
      <w:divBdr>
        <w:top w:val="none" w:sz="0" w:space="0" w:color="auto"/>
        <w:left w:val="none" w:sz="0" w:space="0" w:color="auto"/>
        <w:bottom w:val="none" w:sz="0" w:space="0" w:color="auto"/>
        <w:right w:val="none" w:sz="0" w:space="0" w:color="auto"/>
      </w:divBdr>
    </w:div>
    <w:div w:id="141578737">
      <w:bodyDiv w:val="1"/>
      <w:marLeft w:val="0"/>
      <w:marRight w:val="0"/>
      <w:marTop w:val="0"/>
      <w:marBottom w:val="0"/>
      <w:divBdr>
        <w:top w:val="none" w:sz="0" w:space="0" w:color="auto"/>
        <w:left w:val="none" w:sz="0" w:space="0" w:color="auto"/>
        <w:bottom w:val="none" w:sz="0" w:space="0" w:color="auto"/>
        <w:right w:val="none" w:sz="0" w:space="0" w:color="auto"/>
      </w:divBdr>
    </w:div>
    <w:div w:id="400713980">
      <w:bodyDiv w:val="1"/>
      <w:marLeft w:val="0"/>
      <w:marRight w:val="0"/>
      <w:marTop w:val="0"/>
      <w:marBottom w:val="0"/>
      <w:divBdr>
        <w:top w:val="none" w:sz="0" w:space="0" w:color="auto"/>
        <w:left w:val="none" w:sz="0" w:space="0" w:color="auto"/>
        <w:bottom w:val="none" w:sz="0" w:space="0" w:color="auto"/>
        <w:right w:val="none" w:sz="0" w:space="0" w:color="auto"/>
      </w:divBdr>
    </w:div>
    <w:div w:id="466321021">
      <w:bodyDiv w:val="1"/>
      <w:marLeft w:val="0"/>
      <w:marRight w:val="0"/>
      <w:marTop w:val="0"/>
      <w:marBottom w:val="0"/>
      <w:divBdr>
        <w:top w:val="none" w:sz="0" w:space="0" w:color="auto"/>
        <w:left w:val="none" w:sz="0" w:space="0" w:color="auto"/>
        <w:bottom w:val="none" w:sz="0" w:space="0" w:color="auto"/>
        <w:right w:val="none" w:sz="0" w:space="0" w:color="auto"/>
      </w:divBdr>
    </w:div>
    <w:div w:id="597635739">
      <w:bodyDiv w:val="1"/>
      <w:marLeft w:val="0"/>
      <w:marRight w:val="0"/>
      <w:marTop w:val="0"/>
      <w:marBottom w:val="0"/>
      <w:divBdr>
        <w:top w:val="none" w:sz="0" w:space="0" w:color="auto"/>
        <w:left w:val="none" w:sz="0" w:space="0" w:color="auto"/>
        <w:bottom w:val="none" w:sz="0" w:space="0" w:color="auto"/>
        <w:right w:val="none" w:sz="0" w:space="0" w:color="auto"/>
      </w:divBdr>
    </w:div>
    <w:div w:id="647444087">
      <w:bodyDiv w:val="1"/>
      <w:marLeft w:val="0"/>
      <w:marRight w:val="0"/>
      <w:marTop w:val="0"/>
      <w:marBottom w:val="0"/>
      <w:divBdr>
        <w:top w:val="none" w:sz="0" w:space="0" w:color="auto"/>
        <w:left w:val="none" w:sz="0" w:space="0" w:color="auto"/>
        <w:bottom w:val="none" w:sz="0" w:space="0" w:color="auto"/>
        <w:right w:val="none" w:sz="0" w:space="0" w:color="auto"/>
      </w:divBdr>
    </w:div>
    <w:div w:id="820925720">
      <w:bodyDiv w:val="1"/>
      <w:marLeft w:val="0"/>
      <w:marRight w:val="0"/>
      <w:marTop w:val="0"/>
      <w:marBottom w:val="0"/>
      <w:divBdr>
        <w:top w:val="none" w:sz="0" w:space="0" w:color="auto"/>
        <w:left w:val="none" w:sz="0" w:space="0" w:color="auto"/>
        <w:bottom w:val="none" w:sz="0" w:space="0" w:color="auto"/>
        <w:right w:val="none" w:sz="0" w:space="0" w:color="auto"/>
      </w:divBdr>
    </w:div>
    <w:div w:id="917597603">
      <w:bodyDiv w:val="1"/>
      <w:marLeft w:val="0"/>
      <w:marRight w:val="0"/>
      <w:marTop w:val="0"/>
      <w:marBottom w:val="0"/>
      <w:divBdr>
        <w:top w:val="none" w:sz="0" w:space="0" w:color="auto"/>
        <w:left w:val="none" w:sz="0" w:space="0" w:color="auto"/>
        <w:bottom w:val="none" w:sz="0" w:space="0" w:color="auto"/>
        <w:right w:val="none" w:sz="0" w:space="0" w:color="auto"/>
      </w:divBdr>
    </w:div>
    <w:div w:id="926155669">
      <w:bodyDiv w:val="1"/>
      <w:marLeft w:val="0"/>
      <w:marRight w:val="0"/>
      <w:marTop w:val="0"/>
      <w:marBottom w:val="0"/>
      <w:divBdr>
        <w:top w:val="none" w:sz="0" w:space="0" w:color="auto"/>
        <w:left w:val="none" w:sz="0" w:space="0" w:color="auto"/>
        <w:bottom w:val="none" w:sz="0" w:space="0" w:color="auto"/>
        <w:right w:val="none" w:sz="0" w:space="0" w:color="auto"/>
      </w:divBdr>
    </w:div>
    <w:div w:id="1057554872">
      <w:bodyDiv w:val="1"/>
      <w:marLeft w:val="0"/>
      <w:marRight w:val="0"/>
      <w:marTop w:val="0"/>
      <w:marBottom w:val="0"/>
      <w:divBdr>
        <w:top w:val="none" w:sz="0" w:space="0" w:color="auto"/>
        <w:left w:val="none" w:sz="0" w:space="0" w:color="auto"/>
        <w:bottom w:val="none" w:sz="0" w:space="0" w:color="auto"/>
        <w:right w:val="none" w:sz="0" w:space="0" w:color="auto"/>
      </w:divBdr>
    </w:div>
    <w:div w:id="1124958053">
      <w:bodyDiv w:val="1"/>
      <w:marLeft w:val="0"/>
      <w:marRight w:val="0"/>
      <w:marTop w:val="0"/>
      <w:marBottom w:val="0"/>
      <w:divBdr>
        <w:top w:val="none" w:sz="0" w:space="0" w:color="auto"/>
        <w:left w:val="none" w:sz="0" w:space="0" w:color="auto"/>
        <w:bottom w:val="none" w:sz="0" w:space="0" w:color="auto"/>
        <w:right w:val="none" w:sz="0" w:space="0" w:color="auto"/>
      </w:divBdr>
    </w:div>
    <w:div w:id="1184828924">
      <w:bodyDiv w:val="1"/>
      <w:marLeft w:val="0"/>
      <w:marRight w:val="0"/>
      <w:marTop w:val="0"/>
      <w:marBottom w:val="0"/>
      <w:divBdr>
        <w:top w:val="none" w:sz="0" w:space="0" w:color="auto"/>
        <w:left w:val="none" w:sz="0" w:space="0" w:color="auto"/>
        <w:bottom w:val="none" w:sz="0" w:space="0" w:color="auto"/>
        <w:right w:val="none" w:sz="0" w:space="0" w:color="auto"/>
      </w:divBdr>
    </w:div>
    <w:div w:id="1453551687">
      <w:bodyDiv w:val="1"/>
      <w:marLeft w:val="0"/>
      <w:marRight w:val="0"/>
      <w:marTop w:val="0"/>
      <w:marBottom w:val="0"/>
      <w:divBdr>
        <w:top w:val="none" w:sz="0" w:space="0" w:color="auto"/>
        <w:left w:val="none" w:sz="0" w:space="0" w:color="auto"/>
        <w:bottom w:val="none" w:sz="0" w:space="0" w:color="auto"/>
        <w:right w:val="none" w:sz="0" w:space="0" w:color="auto"/>
      </w:divBdr>
    </w:div>
    <w:div w:id="1458063032">
      <w:bodyDiv w:val="1"/>
      <w:marLeft w:val="0"/>
      <w:marRight w:val="0"/>
      <w:marTop w:val="0"/>
      <w:marBottom w:val="0"/>
      <w:divBdr>
        <w:top w:val="none" w:sz="0" w:space="0" w:color="auto"/>
        <w:left w:val="none" w:sz="0" w:space="0" w:color="auto"/>
        <w:bottom w:val="none" w:sz="0" w:space="0" w:color="auto"/>
        <w:right w:val="none" w:sz="0" w:space="0" w:color="auto"/>
      </w:divBdr>
    </w:div>
    <w:div w:id="1575165146">
      <w:bodyDiv w:val="1"/>
      <w:marLeft w:val="0"/>
      <w:marRight w:val="0"/>
      <w:marTop w:val="0"/>
      <w:marBottom w:val="0"/>
      <w:divBdr>
        <w:top w:val="none" w:sz="0" w:space="0" w:color="auto"/>
        <w:left w:val="none" w:sz="0" w:space="0" w:color="auto"/>
        <w:bottom w:val="none" w:sz="0" w:space="0" w:color="auto"/>
        <w:right w:val="none" w:sz="0" w:space="0" w:color="auto"/>
      </w:divBdr>
    </w:div>
    <w:div w:id="1612321706">
      <w:bodyDiv w:val="1"/>
      <w:marLeft w:val="0"/>
      <w:marRight w:val="0"/>
      <w:marTop w:val="0"/>
      <w:marBottom w:val="0"/>
      <w:divBdr>
        <w:top w:val="none" w:sz="0" w:space="0" w:color="auto"/>
        <w:left w:val="none" w:sz="0" w:space="0" w:color="auto"/>
        <w:bottom w:val="none" w:sz="0" w:space="0" w:color="auto"/>
        <w:right w:val="none" w:sz="0" w:space="0" w:color="auto"/>
      </w:divBdr>
    </w:div>
    <w:div w:id="1757362244">
      <w:bodyDiv w:val="1"/>
      <w:marLeft w:val="0"/>
      <w:marRight w:val="0"/>
      <w:marTop w:val="0"/>
      <w:marBottom w:val="0"/>
      <w:divBdr>
        <w:top w:val="none" w:sz="0" w:space="0" w:color="auto"/>
        <w:left w:val="none" w:sz="0" w:space="0" w:color="auto"/>
        <w:bottom w:val="none" w:sz="0" w:space="0" w:color="auto"/>
        <w:right w:val="none" w:sz="0" w:space="0" w:color="auto"/>
      </w:divBdr>
    </w:div>
    <w:div w:id="1986930886">
      <w:bodyDiv w:val="1"/>
      <w:marLeft w:val="0"/>
      <w:marRight w:val="0"/>
      <w:marTop w:val="0"/>
      <w:marBottom w:val="0"/>
      <w:divBdr>
        <w:top w:val="none" w:sz="0" w:space="0" w:color="auto"/>
        <w:left w:val="none" w:sz="0" w:space="0" w:color="auto"/>
        <w:bottom w:val="none" w:sz="0" w:space="0" w:color="auto"/>
        <w:right w:val="none" w:sz="0" w:space="0" w:color="auto"/>
      </w:divBdr>
    </w:div>
    <w:div w:id="20391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DBB0-387B-D14D-BE31-A0FD6972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Aoshuang Yang</dc:creator>
  <cp:keywords/>
  <dc:description/>
  <cp:lastModifiedBy>Situ Ma</cp:lastModifiedBy>
  <cp:revision>3</cp:revision>
  <dcterms:created xsi:type="dcterms:W3CDTF">2019-04-17T06:49:00Z</dcterms:created>
  <dcterms:modified xsi:type="dcterms:W3CDTF">2019-04-17T06:49:00Z</dcterms:modified>
</cp:coreProperties>
</file>