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BDF1" w14:textId="77777777" w:rsidR="00591AE4" w:rsidRPr="00591AE4" w:rsidRDefault="00591AE4" w:rsidP="00591AE4">
      <w:pPr>
        <w:spacing w:before="100" w:beforeAutospacing="1" w:after="100" w:afterAutospacing="1" w:line="240" w:lineRule="auto"/>
        <w:outlineLvl w:val="1"/>
        <w:rPr>
          <w:rFonts w:ascii="Arial" w:eastAsia="Times New Roman" w:hAnsi="Arial" w:cs="Arial"/>
          <w:b/>
          <w:bCs/>
          <w:kern w:val="0"/>
          <w:sz w:val="28"/>
          <w:szCs w:val="28"/>
          <w:lang w:val="es-ES"/>
          <w14:ligatures w14:val="none"/>
        </w:rPr>
      </w:pPr>
      <w:r w:rsidRPr="00591AE4">
        <w:rPr>
          <w:rFonts w:ascii="Arial" w:eastAsia="Times New Roman" w:hAnsi="Arial" w:cs="Arial"/>
          <w:b/>
          <w:bCs/>
          <w:kern w:val="0"/>
          <w:sz w:val="28"/>
          <w:szCs w:val="28"/>
          <w:lang w:val="es-ES"/>
          <w14:ligatures w14:val="none"/>
        </w:rPr>
        <w:t>Capítulo 2. Estado del arte</w:t>
      </w:r>
    </w:p>
    <w:p w14:paraId="0C2F68A6"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Aunque existen numerosos estudios que analizan modelos </w:t>
      </w:r>
      <w:proofErr w:type="spellStart"/>
      <w:r w:rsidRPr="00591AE4">
        <w:rPr>
          <w:rFonts w:ascii="Arial" w:eastAsia="Times New Roman" w:hAnsi="Arial" w:cs="Arial"/>
          <w:kern w:val="0"/>
          <w:sz w:val="22"/>
          <w:szCs w:val="22"/>
          <w:lang w:val="es-ES"/>
          <w14:ligatures w14:val="none"/>
        </w:rPr>
        <w:t>boosting</w:t>
      </w:r>
      <w:proofErr w:type="spellEnd"/>
      <w:r w:rsidRPr="00591AE4">
        <w:rPr>
          <w:rFonts w:ascii="Arial" w:eastAsia="Times New Roman" w:hAnsi="Arial" w:cs="Arial"/>
          <w:kern w:val="0"/>
          <w:sz w:val="22"/>
          <w:szCs w:val="22"/>
          <w:lang w:val="es-ES"/>
          <w14:ligatures w14:val="none"/>
        </w:rPr>
        <w:t xml:space="preserve">, redes LSTM o técnicas de reconciliación jerárquica de forma independiente, la literatura carece de un análisis que los integre dentro de un mismo marco metodológico. Este vacío justifica la relevancia del presente trabajo, que plantea una comparación entre modelos basados en árboles y LSTM, incorporando reconciliación </w:t>
      </w:r>
      <w:proofErr w:type="spellStart"/>
      <w:r w:rsidRPr="00591AE4">
        <w:rPr>
          <w:rFonts w:ascii="Arial" w:eastAsia="Times New Roman" w:hAnsi="Arial" w:cs="Arial"/>
          <w:kern w:val="0"/>
          <w:sz w:val="22"/>
          <w:szCs w:val="22"/>
          <w:lang w:val="es-ES"/>
          <w14:ligatures w14:val="none"/>
        </w:rPr>
        <w:t>MinT</w:t>
      </w:r>
      <w:proofErr w:type="spellEnd"/>
      <w:r w:rsidRPr="00591AE4">
        <w:rPr>
          <w:rFonts w:ascii="Arial" w:eastAsia="Times New Roman" w:hAnsi="Arial" w:cs="Arial"/>
          <w:kern w:val="0"/>
          <w:sz w:val="22"/>
          <w:szCs w:val="22"/>
          <w:lang w:val="es-ES"/>
          <w14:ligatures w14:val="none"/>
        </w:rPr>
        <w:t xml:space="preserve"> e interpretabilidad mediante SHAP.</w:t>
      </w:r>
    </w:p>
    <w:p w14:paraId="11CE4E39" w14:textId="3603C732"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La predicción de demanda en </w:t>
      </w:r>
      <w:proofErr w:type="spellStart"/>
      <w:r w:rsidRPr="00591AE4">
        <w:rPr>
          <w:rFonts w:ascii="Arial" w:eastAsia="Times New Roman" w:hAnsi="Arial" w:cs="Arial"/>
          <w:kern w:val="0"/>
          <w:sz w:val="22"/>
          <w:szCs w:val="22"/>
          <w:lang w:val="es-ES"/>
          <w14:ligatures w14:val="none"/>
        </w:rPr>
        <w:t>retail</w:t>
      </w:r>
      <w:proofErr w:type="spellEnd"/>
      <w:r w:rsidRPr="00591AE4">
        <w:rPr>
          <w:rFonts w:ascii="Arial" w:eastAsia="Times New Roman" w:hAnsi="Arial" w:cs="Arial"/>
          <w:kern w:val="0"/>
          <w:sz w:val="22"/>
          <w:szCs w:val="22"/>
          <w:lang w:val="es-ES"/>
          <w14:ligatures w14:val="none"/>
        </w:rPr>
        <w:t xml:space="preserve"> ha sido ampliamente estudiada debido a su impacto en la planificación de inventarios, la gestión logística y la toma de decisiones. Estos entornos presentan una elevada complejidad estructural: miles de series temporales interrelacionadas, múltiples niveles jerárquicos, estacionalidad, efectos de calendario y variaciones derivadas de promociones o cambios de precio (Hyndman &amp; Athanasopoulos, 2021). Este contexto ha favorecido el uso de modelos capaces de manejar grandes volúmenes de datos y capturar relaciones no lineales.</w:t>
      </w:r>
    </w:p>
    <w:p w14:paraId="329B90BD"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El </w:t>
      </w:r>
      <w:proofErr w:type="spellStart"/>
      <w:r w:rsidRPr="00591AE4">
        <w:rPr>
          <w:rFonts w:ascii="Arial" w:eastAsia="Times New Roman" w:hAnsi="Arial" w:cs="Arial"/>
          <w:kern w:val="0"/>
          <w:sz w:val="22"/>
          <w:szCs w:val="22"/>
          <w:lang w:val="es-ES"/>
          <w14:ligatures w14:val="none"/>
        </w:rPr>
        <w:t>dataset</w:t>
      </w:r>
      <w:proofErr w:type="spellEnd"/>
      <w:r w:rsidRPr="00591AE4">
        <w:rPr>
          <w:rFonts w:ascii="Arial" w:eastAsia="Times New Roman" w:hAnsi="Arial" w:cs="Arial"/>
          <w:kern w:val="0"/>
          <w:sz w:val="22"/>
          <w:szCs w:val="22"/>
          <w:lang w:val="es-ES"/>
          <w14:ligatures w14:val="none"/>
        </w:rPr>
        <w:t xml:space="preserve"> M5 </w:t>
      </w:r>
      <w:proofErr w:type="spellStart"/>
      <w:r w:rsidRPr="00591AE4">
        <w:rPr>
          <w:rFonts w:ascii="Arial" w:eastAsia="Times New Roman" w:hAnsi="Arial" w:cs="Arial"/>
          <w:kern w:val="0"/>
          <w:sz w:val="22"/>
          <w:szCs w:val="22"/>
          <w:lang w:val="es-ES"/>
          <w14:ligatures w14:val="none"/>
        </w:rPr>
        <w:t>Forecasting</w:t>
      </w:r>
      <w:proofErr w:type="spellEnd"/>
      <w:r w:rsidRPr="00591AE4">
        <w:rPr>
          <w:rFonts w:ascii="Arial" w:eastAsia="Times New Roman" w:hAnsi="Arial" w:cs="Arial"/>
          <w:kern w:val="0"/>
          <w:sz w:val="22"/>
          <w:szCs w:val="22"/>
          <w:lang w:val="es-ES"/>
          <w14:ligatures w14:val="none"/>
        </w:rPr>
        <w:t xml:space="preserve"> – Walmart (</w:t>
      </w:r>
      <w:proofErr w:type="spellStart"/>
      <w:r w:rsidRPr="00591AE4">
        <w:rPr>
          <w:rFonts w:ascii="Arial" w:eastAsia="Times New Roman" w:hAnsi="Arial" w:cs="Arial"/>
          <w:kern w:val="0"/>
          <w:sz w:val="22"/>
          <w:szCs w:val="22"/>
          <w:lang w:val="es-ES"/>
          <w14:ligatures w14:val="none"/>
        </w:rPr>
        <w:t>Makridakis</w:t>
      </w:r>
      <w:proofErr w:type="spellEnd"/>
      <w:r w:rsidRPr="00591AE4">
        <w:rPr>
          <w:rFonts w:ascii="Arial" w:eastAsia="Times New Roman" w:hAnsi="Arial" w:cs="Arial"/>
          <w:kern w:val="0"/>
          <w:sz w:val="22"/>
          <w:szCs w:val="22"/>
          <w:lang w:val="es-ES"/>
          <w14:ligatures w14:val="none"/>
        </w:rPr>
        <w:t xml:space="preserve"> et al., 2020) constituye un </w:t>
      </w:r>
      <w:proofErr w:type="spellStart"/>
      <w:r w:rsidRPr="00591AE4">
        <w:rPr>
          <w:rFonts w:ascii="Arial" w:eastAsia="Times New Roman" w:hAnsi="Arial" w:cs="Arial"/>
          <w:kern w:val="0"/>
          <w:sz w:val="22"/>
          <w:szCs w:val="22"/>
          <w:lang w:val="es-ES"/>
          <w14:ligatures w14:val="none"/>
        </w:rPr>
        <w:t>benchmark</w:t>
      </w:r>
      <w:proofErr w:type="spellEnd"/>
      <w:r w:rsidRPr="00591AE4">
        <w:rPr>
          <w:rFonts w:ascii="Arial" w:eastAsia="Times New Roman" w:hAnsi="Arial" w:cs="Arial"/>
          <w:kern w:val="0"/>
          <w:sz w:val="22"/>
          <w:szCs w:val="22"/>
          <w:lang w:val="es-ES"/>
          <w14:ligatures w14:val="none"/>
        </w:rPr>
        <w:t xml:space="preserve"> relevante por su estructura jerárquica profunda, granularidad diaria y diversidad de variables explicativas, permitiendo comparar modelos estadísticos y de machine </w:t>
      </w:r>
      <w:proofErr w:type="spellStart"/>
      <w:r w:rsidRPr="00591AE4">
        <w:rPr>
          <w:rFonts w:ascii="Arial" w:eastAsia="Times New Roman" w:hAnsi="Arial" w:cs="Arial"/>
          <w:kern w:val="0"/>
          <w:sz w:val="22"/>
          <w:szCs w:val="22"/>
          <w:lang w:val="es-ES"/>
          <w14:ligatures w14:val="none"/>
        </w:rPr>
        <w:t>learning</w:t>
      </w:r>
      <w:proofErr w:type="spellEnd"/>
      <w:r w:rsidRPr="00591AE4">
        <w:rPr>
          <w:rFonts w:ascii="Arial" w:eastAsia="Times New Roman" w:hAnsi="Arial" w:cs="Arial"/>
          <w:kern w:val="0"/>
          <w:sz w:val="22"/>
          <w:szCs w:val="22"/>
          <w:lang w:val="es-ES"/>
          <w14:ligatures w14:val="none"/>
        </w:rPr>
        <w:t xml:space="preserve"> bajo un mismo marco.</w:t>
      </w:r>
    </w:p>
    <w:p w14:paraId="150C66B3" w14:textId="77777777" w:rsidR="00591AE4" w:rsidRPr="00591AE4" w:rsidRDefault="00591AE4" w:rsidP="00591AE4">
      <w:pPr>
        <w:spacing w:before="100" w:beforeAutospacing="1" w:after="100" w:afterAutospacing="1" w:line="240" w:lineRule="auto"/>
        <w:outlineLvl w:val="2"/>
        <w:rPr>
          <w:rFonts w:ascii="Arial" w:eastAsia="Times New Roman" w:hAnsi="Arial" w:cs="Arial"/>
          <w:b/>
          <w:bCs/>
          <w:kern w:val="0"/>
          <w:sz w:val="22"/>
          <w:szCs w:val="22"/>
          <w:lang w:val="es-ES"/>
          <w14:ligatures w14:val="none"/>
        </w:rPr>
      </w:pPr>
      <w:r w:rsidRPr="00591AE4">
        <w:rPr>
          <w:rFonts w:ascii="Arial" w:eastAsia="Times New Roman" w:hAnsi="Arial" w:cs="Arial"/>
          <w:b/>
          <w:bCs/>
          <w:kern w:val="0"/>
          <w:sz w:val="22"/>
          <w:szCs w:val="22"/>
          <w:lang w:val="es-ES"/>
          <w14:ligatures w14:val="none"/>
        </w:rPr>
        <w:t xml:space="preserve">2.1. Predicción de demanda en </w:t>
      </w:r>
      <w:proofErr w:type="spellStart"/>
      <w:r w:rsidRPr="00591AE4">
        <w:rPr>
          <w:rFonts w:ascii="Arial" w:eastAsia="Times New Roman" w:hAnsi="Arial" w:cs="Arial"/>
          <w:b/>
          <w:bCs/>
          <w:kern w:val="0"/>
          <w:sz w:val="22"/>
          <w:szCs w:val="22"/>
          <w:lang w:val="es-ES"/>
          <w14:ligatures w14:val="none"/>
        </w:rPr>
        <w:t>retail</w:t>
      </w:r>
      <w:proofErr w:type="spellEnd"/>
      <w:r w:rsidRPr="00591AE4">
        <w:rPr>
          <w:rFonts w:ascii="Arial" w:eastAsia="Times New Roman" w:hAnsi="Arial" w:cs="Arial"/>
          <w:b/>
          <w:bCs/>
          <w:kern w:val="0"/>
          <w:sz w:val="22"/>
          <w:szCs w:val="22"/>
          <w:lang w:val="es-ES"/>
          <w14:ligatures w14:val="none"/>
        </w:rPr>
        <w:t>: problemática y enfoques existentes</w:t>
      </w:r>
    </w:p>
    <w:p w14:paraId="17CC91CF" w14:textId="7C49417E"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9B6BCB">
        <w:rPr>
          <w:rFonts w:ascii="Arial" w:eastAsia="Times New Roman" w:hAnsi="Arial" w:cs="Arial"/>
          <w:kern w:val="0"/>
          <w:sz w:val="22"/>
          <w:szCs w:val="22"/>
          <w:lang w:val="es-ES"/>
          <w14:ligatures w14:val="none"/>
        </w:rPr>
        <w:t xml:space="preserve">La demanda en </w:t>
      </w:r>
      <w:proofErr w:type="spellStart"/>
      <w:r w:rsidRPr="009B6BCB">
        <w:rPr>
          <w:rFonts w:ascii="Arial" w:eastAsia="Times New Roman" w:hAnsi="Arial" w:cs="Arial"/>
          <w:kern w:val="0"/>
          <w:sz w:val="22"/>
          <w:szCs w:val="22"/>
          <w:lang w:val="es-ES"/>
          <w14:ligatures w14:val="none"/>
        </w:rPr>
        <w:t>retail</w:t>
      </w:r>
      <w:proofErr w:type="spellEnd"/>
      <w:r w:rsidRPr="009B6BCB">
        <w:rPr>
          <w:rFonts w:ascii="Arial" w:eastAsia="Times New Roman" w:hAnsi="Arial" w:cs="Arial"/>
          <w:kern w:val="0"/>
          <w:sz w:val="22"/>
          <w:szCs w:val="22"/>
          <w:lang w:val="es-ES"/>
          <w14:ligatures w14:val="none"/>
        </w:rPr>
        <w:t xml:space="preserve"> está influida por múltiples factores simultáneos: estacionalidad, tendencias, eventos, promociones, variaciones de precio y diferencias entre tiendas o regiones, tal como se observa en distintos enfoques de modelización de demanda (Seeger et al., 2016).</w:t>
      </w:r>
      <w:r w:rsidRPr="00591AE4">
        <w:rPr>
          <w:rFonts w:ascii="Arial" w:eastAsia="Times New Roman" w:hAnsi="Arial" w:cs="Arial"/>
          <w:kern w:val="0"/>
          <w:sz w:val="22"/>
          <w:szCs w:val="22"/>
          <w:lang w:val="es-ES"/>
          <w14:ligatures w14:val="none"/>
        </w:rPr>
        <w:t xml:space="preserve"> La presencia de miles de series con comportamientos heterogéneos ha impulsado el desarrollo de modelos globales, capaces de aprender patrones compartidos entre productos y tiendas.</w:t>
      </w:r>
    </w:p>
    <w:p w14:paraId="1E026F31"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Los métodos univariantes como ARIMA o ETS han sido ampliamente utilizados, pero presentan limitaciones al abordar estructuras jerárquicas complejas y múltiples variables explicativas. Esta limitación ha favorecido la adopción de modelos más flexibles y escalables.</w:t>
      </w:r>
    </w:p>
    <w:p w14:paraId="5E707F18" w14:textId="77777777" w:rsidR="00591AE4" w:rsidRPr="00591AE4" w:rsidRDefault="00591AE4" w:rsidP="00591AE4">
      <w:pPr>
        <w:spacing w:before="100" w:beforeAutospacing="1" w:after="100" w:afterAutospacing="1" w:line="240" w:lineRule="auto"/>
        <w:outlineLvl w:val="2"/>
        <w:rPr>
          <w:rFonts w:ascii="Arial" w:eastAsia="Times New Roman" w:hAnsi="Arial" w:cs="Arial"/>
          <w:b/>
          <w:bCs/>
          <w:kern w:val="0"/>
          <w:sz w:val="22"/>
          <w:szCs w:val="22"/>
          <w:lang w:val="es-ES"/>
          <w14:ligatures w14:val="none"/>
        </w:rPr>
      </w:pPr>
      <w:r w:rsidRPr="00591AE4">
        <w:rPr>
          <w:rFonts w:ascii="Arial" w:eastAsia="Times New Roman" w:hAnsi="Arial" w:cs="Arial"/>
          <w:b/>
          <w:bCs/>
          <w:kern w:val="0"/>
          <w:sz w:val="22"/>
          <w:szCs w:val="22"/>
          <w:lang w:val="es-ES"/>
          <w14:ligatures w14:val="none"/>
        </w:rPr>
        <w:t>2.2. Series temporales jerárquicas y reconciliación</w:t>
      </w:r>
    </w:p>
    <w:p w14:paraId="1CC8A2D3"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La estructura jerárquica de los datos constituye un elemento central del problema. En el caso de Walmart, las ventas pueden agregarse por estado, tienda, categoría o producto, generando distintos niveles que deben mantener coherencia entre sí.</w:t>
      </w:r>
    </w:p>
    <w:p w14:paraId="581B29BB"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Los enfoques tradicionales como Bottom-Up, Top-Down o Middle-</w:t>
      </w:r>
      <w:proofErr w:type="spellStart"/>
      <w:r w:rsidRPr="00591AE4">
        <w:rPr>
          <w:rFonts w:ascii="Arial" w:eastAsia="Times New Roman" w:hAnsi="Arial" w:cs="Arial"/>
          <w:kern w:val="0"/>
          <w:sz w:val="22"/>
          <w:szCs w:val="22"/>
          <w:lang w:val="es-ES"/>
          <w14:ligatures w14:val="none"/>
        </w:rPr>
        <w:t>Out</w:t>
      </w:r>
      <w:proofErr w:type="spellEnd"/>
      <w:r w:rsidRPr="00591AE4">
        <w:rPr>
          <w:rFonts w:ascii="Arial" w:eastAsia="Times New Roman" w:hAnsi="Arial" w:cs="Arial"/>
          <w:kern w:val="0"/>
          <w:sz w:val="22"/>
          <w:szCs w:val="22"/>
          <w:lang w:val="es-ES"/>
          <w14:ligatures w14:val="none"/>
        </w:rPr>
        <w:t xml:space="preserve"> (Hyndman et al., 2011) permiten agregar o desagregar predicciones, pero no consideran la correlación entre errores de predicción.</w:t>
      </w:r>
    </w:p>
    <w:p w14:paraId="251CC3CD" w14:textId="4229EC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Para abordar esta limitación, </w:t>
      </w:r>
      <w:proofErr w:type="spellStart"/>
      <w:r w:rsidRPr="009B6BCB">
        <w:rPr>
          <w:rFonts w:ascii="Arial" w:eastAsia="Times New Roman" w:hAnsi="Arial" w:cs="Arial"/>
          <w:kern w:val="0"/>
          <w:sz w:val="22"/>
          <w:szCs w:val="22"/>
          <w:lang w:val="es-ES"/>
          <w14:ligatures w14:val="none"/>
        </w:rPr>
        <w:t>Wickramasuriya</w:t>
      </w:r>
      <w:proofErr w:type="spellEnd"/>
      <w:r w:rsidRPr="009B6BCB">
        <w:rPr>
          <w:rFonts w:ascii="Arial" w:eastAsia="Times New Roman" w:hAnsi="Arial" w:cs="Arial"/>
          <w:kern w:val="0"/>
          <w:sz w:val="22"/>
          <w:szCs w:val="22"/>
          <w:lang w:val="es-ES"/>
          <w14:ligatures w14:val="none"/>
        </w:rPr>
        <w:t xml:space="preserve"> et al</w:t>
      </w:r>
      <w:r w:rsidRPr="009B6BCB">
        <w:rPr>
          <w:rFonts w:ascii="Arial" w:eastAsia="Times New Roman" w:hAnsi="Arial" w:cs="Arial"/>
          <w:kern w:val="0"/>
          <w:sz w:val="22"/>
          <w:szCs w:val="22"/>
          <w:lang w:val="es-ES"/>
          <w14:ligatures w14:val="none"/>
        </w:rPr>
        <w:t xml:space="preserve">. </w:t>
      </w:r>
      <w:r w:rsidRPr="00591AE4">
        <w:rPr>
          <w:rFonts w:ascii="Arial" w:eastAsia="Times New Roman" w:hAnsi="Arial" w:cs="Arial"/>
          <w:kern w:val="0"/>
          <w:sz w:val="22"/>
          <w:szCs w:val="22"/>
          <w:lang w:val="es-ES"/>
          <w14:ligatures w14:val="none"/>
        </w:rPr>
        <w:t xml:space="preserve">(2019) proponen </w:t>
      </w:r>
      <w:proofErr w:type="spellStart"/>
      <w:r w:rsidRPr="00591AE4">
        <w:rPr>
          <w:rFonts w:ascii="Arial" w:eastAsia="Times New Roman" w:hAnsi="Arial" w:cs="Arial"/>
          <w:kern w:val="0"/>
          <w:sz w:val="22"/>
          <w:szCs w:val="22"/>
          <w:lang w:val="es-ES"/>
          <w14:ligatures w14:val="none"/>
        </w:rPr>
        <w:t>MinT</w:t>
      </w:r>
      <w:proofErr w:type="spellEnd"/>
      <w:r w:rsidRPr="00591AE4">
        <w:rPr>
          <w:rFonts w:ascii="Arial" w:eastAsia="Times New Roman" w:hAnsi="Arial" w:cs="Arial"/>
          <w:kern w:val="0"/>
          <w:sz w:val="22"/>
          <w:szCs w:val="22"/>
          <w:lang w:val="es-ES"/>
          <w14:ligatures w14:val="none"/>
        </w:rPr>
        <w:t xml:space="preserve"> (</w:t>
      </w:r>
      <w:proofErr w:type="spellStart"/>
      <w:r w:rsidRPr="00591AE4">
        <w:rPr>
          <w:rFonts w:ascii="Arial" w:eastAsia="Times New Roman" w:hAnsi="Arial" w:cs="Arial"/>
          <w:kern w:val="0"/>
          <w:sz w:val="22"/>
          <w:szCs w:val="22"/>
          <w:lang w:val="es-ES"/>
          <w14:ligatures w14:val="none"/>
        </w:rPr>
        <w:t>Minimum</w:t>
      </w:r>
      <w:proofErr w:type="spellEnd"/>
      <w:r w:rsidRPr="00591AE4">
        <w:rPr>
          <w:rFonts w:ascii="Arial" w:eastAsia="Times New Roman" w:hAnsi="Arial" w:cs="Arial"/>
          <w:kern w:val="0"/>
          <w:sz w:val="22"/>
          <w:szCs w:val="22"/>
          <w:lang w:val="es-ES"/>
          <w14:ligatures w14:val="none"/>
        </w:rPr>
        <w:t xml:space="preserve"> Trace), que ajusta las predicciones base mediante una combinación lineal que minimiza la traza de la matriz de covarianzas de los errores. Este enfoque produce predicciones más eficientes y coherentes, especialmente en jerarquías profundas como la del M5. Por ello, en este trabajo se emplea </w:t>
      </w:r>
      <w:proofErr w:type="spellStart"/>
      <w:r w:rsidRPr="00591AE4">
        <w:rPr>
          <w:rFonts w:ascii="Arial" w:eastAsia="Times New Roman" w:hAnsi="Arial" w:cs="Arial"/>
          <w:kern w:val="0"/>
          <w:sz w:val="22"/>
          <w:szCs w:val="22"/>
          <w:lang w:val="es-ES"/>
          <w14:ligatures w14:val="none"/>
        </w:rPr>
        <w:t>MinT</w:t>
      </w:r>
      <w:proofErr w:type="spellEnd"/>
      <w:r w:rsidRPr="00591AE4">
        <w:rPr>
          <w:rFonts w:ascii="Arial" w:eastAsia="Times New Roman" w:hAnsi="Arial" w:cs="Arial"/>
          <w:kern w:val="0"/>
          <w:sz w:val="22"/>
          <w:szCs w:val="22"/>
          <w:lang w:val="es-ES"/>
          <w14:ligatures w14:val="none"/>
        </w:rPr>
        <w:t xml:space="preserve"> como técnica principal, complementada con Bottom-Up como referencia.</w:t>
      </w:r>
    </w:p>
    <w:p w14:paraId="5B905348"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lastRenderedPageBreak/>
        <w:t>La necesidad de garantizar coherencia jerárquica requiere modelos capaces de generar predicciones base robustas.</w:t>
      </w:r>
    </w:p>
    <w:p w14:paraId="4AD7D9C1" w14:textId="77777777" w:rsidR="00591AE4" w:rsidRPr="00591AE4" w:rsidRDefault="00591AE4" w:rsidP="00591AE4">
      <w:pPr>
        <w:spacing w:before="100" w:beforeAutospacing="1" w:after="100" w:afterAutospacing="1" w:line="240" w:lineRule="auto"/>
        <w:outlineLvl w:val="2"/>
        <w:rPr>
          <w:rFonts w:ascii="Arial" w:eastAsia="Times New Roman" w:hAnsi="Arial" w:cs="Arial"/>
          <w:b/>
          <w:bCs/>
          <w:kern w:val="0"/>
          <w:sz w:val="22"/>
          <w:szCs w:val="22"/>
          <w:lang w:val="es-ES"/>
          <w14:ligatures w14:val="none"/>
        </w:rPr>
      </w:pPr>
      <w:r w:rsidRPr="00591AE4">
        <w:rPr>
          <w:rFonts w:ascii="Arial" w:eastAsia="Times New Roman" w:hAnsi="Arial" w:cs="Arial"/>
          <w:b/>
          <w:bCs/>
          <w:kern w:val="0"/>
          <w:sz w:val="22"/>
          <w:szCs w:val="22"/>
          <w:lang w:val="es-ES"/>
          <w14:ligatures w14:val="none"/>
        </w:rPr>
        <w:t xml:space="preserve">2.3. Modelos basados en árboles para </w:t>
      </w:r>
      <w:proofErr w:type="spellStart"/>
      <w:r w:rsidRPr="00591AE4">
        <w:rPr>
          <w:rFonts w:ascii="Arial" w:eastAsia="Times New Roman" w:hAnsi="Arial" w:cs="Arial"/>
          <w:b/>
          <w:bCs/>
          <w:kern w:val="0"/>
          <w:sz w:val="22"/>
          <w:szCs w:val="22"/>
          <w:lang w:val="es-ES"/>
          <w14:ligatures w14:val="none"/>
        </w:rPr>
        <w:t>forecasting</w:t>
      </w:r>
      <w:proofErr w:type="spellEnd"/>
    </w:p>
    <w:p w14:paraId="55C9B0D5"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Los modelos basados en árboles, como Random Forest (</w:t>
      </w:r>
      <w:proofErr w:type="spellStart"/>
      <w:r w:rsidRPr="00591AE4">
        <w:rPr>
          <w:rFonts w:ascii="Arial" w:eastAsia="Times New Roman" w:hAnsi="Arial" w:cs="Arial"/>
          <w:kern w:val="0"/>
          <w:sz w:val="22"/>
          <w:szCs w:val="22"/>
          <w:lang w:val="es-ES"/>
          <w14:ligatures w14:val="none"/>
        </w:rPr>
        <w:t>Breiman</w:t>
      </w:r>
      <w:proofErr w:type="spellEnd"/>
      <w:r w:rsidRPr="00591AE4">
        <w:rPr>
          <w:rFonts w:ascii="Arial" w:eastAsia="Times New Roman" w:hAnsi="Arial" w:cs="Arial"/>
          <w:kern w:val="0"/>
          <w:sz w:val="22"/>
          <w:szCs w:val="22"/>
          <w:lang w:val="es-ES"/>
          <w14:ligatures w14:val="none"/>
        </w:rPr>
        <w:t xml:space="preserve">, 2001), </w:t>
      </w:r>
      <w:proofErr w:type="spellStart"/>
      <w:r w:rsidRPr="00591AE4">
        <w:rPr>
          <w:rFonts w:ascii="Arial" w:eastAsia="Times New Roman" w:hAnsi="Arial" w:cs="Arial"/>
          <w:kern w:val="0"/>
          <w:sz w:val="22"/>
          <w:szCs w:val="22"/>
          <w:lang w:val="es-ES"/>
          <w14:ligatures w14:val="none"/>
        </w:rPr>
        <w:t>XGBoost</w:t>
      </w:r>
      <w:proofErr w:type="spellEnd"/>
      <w:r w:rsidRPr="00591AE4">
        <w:rPr>
          <w:rFonts w:ascii="Arial" w:eastAsia="Times New Roman" w:hAnsi="Arial" w:cs="Arial"/>
          <w:kern w:val="0"/>
          <w:sz w:val="22"/>
          <w:szCs w:val="22"/>
          <w:lang w:val="es-ES"/>
          <w14:ligatures w14:val="none"/>
        </w:rPr>
        <w:t xml:space="preserve"> (Chen &amp; </w:t>
      </w:r>
      <w:proofErr w:type="spellStart"/>
      <w:r w:rsidRPr="00591AE4">
        <w:rPr>
          <w:rFonts w:ascii="Arial" w:eastAsia="Times New Roman" w:hAnsi="Arial" w:cs="Arial"/>
          <w:kern w:val="0"/>
          <w:sz w:val="22"/>
          <w:szCs w:val="22"/>
          <w:lang w:val="es-ES"/>
          <w14:ligatures w14:val="none"/>
        </w:rPr>
        <w:t>Guestrin</w:t>
      </w:r>
      <w:proofErr w:type="spellEnd"/>
      <w:r w:rsidRPr="00591AE4">
        <w:rPr>
          <w:rFonts w:ascii="Arial" w:eastAsia="Times New Roman" w:hAnsi="Arial" w:cs="Arial"/>
          <w:kern w:val="0"/>
          <w:sz w:val="22"/>
          <w:szCs w:val="22"/>
          <w:lang w:val="es-ES"/>
          <w14:ligatures w14:val="none"/>
        </w:rPr>
        <w:t xml:space="preserve">, 2016) y </w:t>
      </w:r>
      <w:proofErr w:type="spellStart"/>
      <w:r w:rsidRPr="00591AE4">
        <w:rPr>
          <w:rFonts w:ascii="Arial" w:eastAsia="Times New Roman" w:hAnsi="Arial" w:cs="Arial"/>
          <w:kern w:val="0"/>
          <w:sz w:val="22"/>
          <w:szCs w:val="22"/>
          <w:lang w:val="es-ES"/>
          <w14:ligatures w14:val="none"/>
        </w:rPr>
        <w:t>LightGBM</w:t>
      </w:r>
      <w:proofErr w:type="spellEnd"/>
      <w:r w:rsidRPr="00591AE4">
        <w:rPr>
          <w:rFonts w:ascii="Arial" w:eastAsia="Times New Roman" w:hAnsi="Arial" w:cs="Arial"/>
          <w:kern w:val="0"/>
          <w:sz w:val="22"/>
          <w:szCs w:val="22"/>
          <w:lang w:val="es-ES"/>
          <w14:ligatures w14:val="none"/>
        </w:rPr>
        <w:t xml:space="preserve"> (Ke et al., 2017), presentan un rendimiento destacado en datos tabulares de alta dimensionalidad. En la competición M5, los modelos de </w:t>
      </w:r>
      <w:proofErr w:type="spellStart"/>
      <w:r w:rsidRPr="00591AE4">
        <w:rPr>
          <w:rFonts w:ascii="Arial" w:eastAsia="Times New Roman" w:hAnsi="Arial" w:cs="Arial"/>
          <w:kern w:val="0"/>
          <w:sz w:val="22"/>
          <w:szCs w:val="22"/>
          <w:lang w:val="es-ES"/>
          <w14:ligatures w14:val="none"/>
        </w:rPr>
        <w:t>gradient</w:t>
      </w:r>
      <w:proofErr w:type="spellEnd"/>
      <w:r w:rsidRPr="00591AE4">
        <w:rPr>
          <w:rFonts w:ascii="Arial" w:eastAsia="Times New Roman" w:hAnsi="Arial" w:cs="Arial"/>
          <w:kern w:val="0"/>
          <w:sz w:val="22"/>
          <w:szCs w:val="22"/>
          <w:lang w:val="es-ES"/>
          <w14:ligatures w14:val="none"/>
        </w:rPr>
        <w:t xml:space="preserve"> </w:t>
      </w:r>
      <w:proofErr w:type="spellStart"/>
      <w:r w:rsidRPr="00591AE4">
        <w:rPr>
          <w:rFonts w:ascii="Arial" w:eastAsia="Times New Roman" w:hAnsi="Arial" w:cs="Arial"/>
          <w:kern w:val="0"/>
          <w:sz w:val="22"/>
          <w:szCs w:val="22"/>
          <w:lang w:val="es-ES"/>
          <w14:ligatures w14:val="none"/>
        </w:rPr>
        <w:t>boosting</w:t>
      </w:r>
      <w:proofErr w:type="spellEnd"/>
      <w:r w:rsidRPr="00591AE4">
        <w:rPr>
          <w:rFonts w:ascii="Arial" w:eastAsia="Times New Roman" w:hAnsi="Arial" w:cs="Arial"/>
          <w:kern w:val="0"/>
          <w:sz w:val="22"/>
          <w:szCs w:val="22"/>
          <w:lang w:val="es-ES"/>
          <w14:ligatures w14:val="none"/>
        </w:rPr>
        <w:t xml:space="preserve"> fueron predominantes entre las soluciones mejor posicionadas (</w:t>
      </w:r>
      <w:proofErr w:type="spellStart"/>
      <w:r w:rsidRPr="00591AE4">
        <w:rPr>
          <w:rFonts w:ascii="Arial" w:eastAsia="Times New Roman" w:hAnsi="Arial" w:cs="Arial"/>
          <w:kern w:val="0"/>
          <w:sz w:val="22"/>
          <w:szCs w:val="22"/>
          <w:lang w:val="es-ES"/>
          <w14:ligatures w14:val="none"/>
        </w:rPr>
        <w:t>Makridakis</w:t>
      </w:r>
      <w:proofErr w:type="spellEnd"/>
      <w:r w:rsidRPr="00591AE4">
        <w:rPr>
          <w:rFonts w:ascii="Arial" w:eastAsia="Times New Roman" w:hAnsi="Arial" w:cs="Arial"/>
          <w:kern w:val="0"/>
          <w:sz w:val="22"/>
          <w:szCs w:val="22"/>
          <w:lang w:val="es-ES"/>
          <w14:ligatures w14:val="none"/>
        </w:rPr>
        <w:t xml:space="preserve"> et al., 2020).</w:t>
      </w:r>
    </w:p>
    <w:p w14:paraId="3591AE8D" w14:textId="11D43BE2"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La literatura indica que, combinados con un </w:t>
      </w:r>
      <w:proofErr w:type="spellStart"/>
      <w:r w:rsidRPr="00591AE4">
        <w:rPr>
          <w:rFonts w:ascii="Arial" w:eastAsia="Times New Roman" w:hAnsi="Arial" w:cs="Arial"/>
          <w:i/>
          <w:iCs/>
          <w:kern w:val="0"/>
          <w:sz w:val="22"/>
          <w:szCs w:val="22"/>
          <w:lang w:val="es-ES"/>
          <w14:ligatures w14:val="none"/>
        </w:rPr>
        <w:t>feature</w:t>
      </w:r>
      <w:proofErr w:type="spellEnd"/>
      <w:r w:rsidRPr="00591AE4">
        <w:rPr>
          <w:rFonts w:ascii="Arial" w:eastAsia="Times New Roman" w:hAnsi="Arial" w:cs="Arial"/>
          <w:i/>
          <w:iCs/>
          <w:kern w:val="0"/>
          <w:sz w:val="22"/>
          <w:szCs w:val="22"/>
          <w:lang w:val="es-ES"/>
          <w14:ligatures w14:val="none"/>
        </w:rPr>
        <w:t xml:space="preserve"> </w:t>
      </w:r>
      <w:proofErr w:type="spellStart"/>
      <w:r w:rsidRPr="00591AE4">
        <w:rPr>
          <w:rFonts w:ascii="Arial" w:eastAsia="Times New Roman" w:hAnsi="Arial" w:cs="Arial"/>
          <w:i/>
          <w:iCs/>
          <w:kern w:val="0"/>
          <w:sz w:val="22"/>
          <w:szCs w:val="22"/>
          <w:lang w:val="es-ES"/>
          <w14:ligatures w14:val="none"/>
        </w:rPr>
        <w:t>engineering</w:t>
      </w:r>
      <w:proofErr w:type="spellEnd"/>
      <w:r w:rsidRPr="00591AE4">
        <w:rPr>
          <w:rFonts w:ascii="Arial" w:eastAsia="Times New Roman" w:hAnsi="Arial" w:cs="Arial"/>
          <w:kern w:val="0"/>
          <w:sz w:val="22"/>
          <w:szCs w:val="22"/>
          <w:lang w:val="es-ES"/>
          <w14:ligatures w14:val="none"/>
        </w:rPr>
        <w:t xml:space="preserve"> adecuado </w:t>
      </w:r>
      <w:r w:rsidRPr="009B6BCB">
        <w:rPr>
          <w:rFonts w:ascii="Arial" w:eastAsia="Times New Roman" w:hAnsi="Arial" w:cs="Arial"/>
          <w:kern w:val="0"/>
          <w:sz w:val="22"/>
          <w:szCs w:val="22"/>
          <w:lang w:val="es-ES"/>
          <w14:ligatures w14:val="none"/>
        </w:rPr>
        <w:t xml:space="preserve">– </w:t>
      </w:r>
      <w:proofErr w:type="spellStart"/>
      <w:r w:rsidRPr="00591AE4">
        <w:rPr>
          <w:rFonts w:ascii="Arial" w:eastAsia="Times New Roman" w:hAnsi="Arial" w:cs="Arial"/>
          <w:kern w:val="0"/>
          <w:sz w:val="22"/>
          <w:szCs w:val="22"/>
          <w:lang w:val="es-ES"/>
          <w14:ligatures w14:val="none"/>
        </w:rPr>
        <w:t>lags</w:t>
      </w:r>
      <w:proofErr w:type="spellEnd"/>
      <w:r w:rsidRPr="00591AE4">
        <w:rPr>
          <w:rFonts w:ascii="Arial" w:eastAsia="Times New Roman" w:hAnsi="Arial" w:cs="Arial"/>
          <w:kern w:val="0"/>
          <w:sz w:val="22"/>
          <w:szCs w:val="22"/>
          <w:lang w:val="es-ES"/>
          <w14:ligatures w14:val="none"/>
        </w:rPr>
        <w:t xml:space="preserve">, ventanas móviles, variables de calendario y de precio </w:t>
      </w:r>
      <w:r w:rsidRPr="009B6BCB">
        <w:rPr>
          <w:rFonts w:ascii="Arial" w:eastAsia="Times New Roman" w:hAnsi="Arial" w:cs="Arial"/>
          <w:kern w:val="0"/>
          <w:sz w:val="22"/>
          <w:szCs w:val="22"/>
          <w:lang w:val="es-ES"/>
          <w14:ligatures w14:val="none"/>
        </w:rPr>
        <w:t>–</w:t>
      </w:r>
      <w:r w:rsidRPr="00591AE4">
        <w:rPr>
          <w:rFonts w:ascii="Arial" w:eastAsia="Times New Roman" w:hAnsi="Arial" w:cs="Arial"/>
          <w:kern w:val="0"/>
          <w:sz w:val="22"/>
          <w:szCs w:val="22"/>
          <w:lang w:val="es-ES"/>
          <w14:ligatures w14:val="none"/>
        </w:rPr>
        <w:t xml:space="preserve">, </w:t>
      </w:r>
      <w:r w:rsidRPr="009B6BCB">
        <w:rPr>
          <w:rFonts w:ascii="Arial" w:eastAsia="Times New Roman" w:hAnsi="Arial" w:cs="Arial"/>
          <w:kern w:val="0"/>
          <w:sz w:val="22"/>
          <w:szCs w:val="22"/>
          <w:lang w:val="es-ES"/>
          <w14:ligatures w14:val="none"/>
        </w:rPr>
        <w:t>pueden ofrecer un rendimiento competitivo frente a modelos más complejos como las redes neuronales recurrentes</w:t>
      </w:r>
      <w:r w:rsidRPr="00591AE4">
        <w:rPr>
          <w:rFonts w:ascii="Arial" w:eastAsia="Times New Roman" w:hAnsi="Arial" w:cs="Arial"/>
          <w:kern w:val="0"/>
          <w:sz w:val="22"/>
          <w:szCs w:val="22"/>
          <w:lang w:val="es-ES"/>
          <w14:ligatures w14:val="none"/>
        </w:rPr>
        <w:t xml:space="preserve"> (</w:t>
      </w:r>
      <w:proofErr w:type="spellStart"/>
      <w:r w:rsidRPr="00591AE4">
        <w:rPr>
          <w:rFonts w:ascii="Arial" w:eastAsia="Times New Roman" w:hAnsi="Arial" w:cs="Arial"/>
          <w:kern w:val="0"/>
          <w:sz w:val="22"/>
          <w:szCs w:val="22"/>
          <w:lang w:val="es-ES"/>
          <w14:ligatures w14:val="none"/>
        </w:rPr>
        <w:t>Hewamalage</w:t>
      </w:r>
      <w:proofErr w:type="spellEnd"/>
      <w:r w:rsidRPr="00591AE4">
        <w:rPr>
          <w:rFonts w:ascii="Arial" w:eastAsia="Times New Roman" w:hAnsi="Arial" w:cs="Arial"/>
          <w:kern w:val="0"/>
          <w:sz w:val="22"/>
          <w:szCs w:val="22"/>
          <w:lang w:val="es-ES"/>
          <w14:ligatures w14:val="none"/>
        </w:rPr>
        <w:t xml:space="preserve"> et al., 2021). Esto respalda su uso como base en el presente trabajo.</w:t>
      </w:r>
    </w:p>
    <w:p w14:paraId="30E22287"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No obstante, su capacidad para capturar dependencias temporales de largo plazo es limitada, al no modelar explícitamente la dinámica temporal, lo que ha impulsado el uso de modelos como las LSTM.</w:t>
      </w:r>
    </w:p>
    <w:p w14:paraId="6E535D92" w14:textId="77777777" w:rsidR="00591AE4" w:rsidRPr="00591AE4" w:rsidRDefault="00591AE4" w:rsidP="00591AE4">
      <w:pPr>
        <w:spacing w:before="100" w:beforeAutospacing="1" w:after="100" w:afterAutospacing="1" w:line="240" w:lineRule="auto"/>
        <w:outlineLvl w:val="2"/>
        <w:rPr>
          <w:rFonts w:ascii="Arial" w:eastAsia="Times New Roman" w:hAnsi="Arial" w:cs="Arial"/>
          <w:b/>
          <w:bCs/>
          <w:kern w:val="0"/>
          <w:sz w:val="22"/>
          <w:szCs w:val="22"/>
          <w:lang w:val="es-ES"/>
          <w14:ligatures w14:val="none"/>
        </w:rPr>
      </w:pPr>
      <w:r w:rsidRPr="00591AE4">
        <w:rPr>
          <w:rFonts w:ascii="Arial" w:eastAsia="Times New Roman" w:hAnsi="Arial" w:cs="Arial"/>
          <w:b/>
          <w:bCs/>
          <w:kern w:val="0"/>
          <w:sz w:val="22"/>
          <w:szCs w:val="22"/>
          <w:lang w:val="es-ES"/>
          <w14:ligatures w14:val="none"/>
        </w:rPr>
        <w:t>2.4. Redes LSTM y modelos profundos para predicción de demanda</w:t>
      </w:r>
    </w:p>
    <w:p w14:paraId="0F39A3A7"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Las redes neuronales recurrentes, en particular las LSTM (Hochreiter &amp; </w:t>
      </w:r>
      <w:proofErr w:type="spellStart"/>
      <w:r w:rsidRPr="00591AE4">
        <w:rPr>
          <w:rFonts w:ascii="Arial" w:eastAsia="Times New Roman" w:hAnsi="Arial" w:cs="Arial"/>
          <w:kern w:val="0"/>
          <w:sz w:val="22"/>
          <w:szCs w:val="22"/>
          <w:lang w:val="es-ES"/>
          <w14:ligatures w14:val="none"/>
        </w:rPr>
        <w:t>Schmidhuber</w:t>
      </w:r>
      <w:proofErr w:type="spellEnd"/>
      <w:r w:rsidRPr="00591AE4">
        <w:rPr>
          <w:rFonts w:ascii="Arial" w:eastAsia="Times New Roman" w:hAnsi="Arial" w:cs="Arial"/>
          <w:kern w:val="0"/>
          <w:sz w:val="22"/>
          <w:szCs w:val="22"/>
          <w:lang w:val="es-ES"/>
          <w14:ligatures w14:val="none"/>
        </w:rPr>
        <w:t>, 1997), están diseñadas para capturar dependencias temporales de largo plazo sin necesidad de ingeniería manual intensiva.</w:t>
      </w:r>
    </w:p>
    <w:p w14:paraId="3147E9A7"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Sin embargo, presentan limitaciones relevantes: alto coste computacional, sensibilidad a la configuración de </w:t>
      </w:r>
      <w:proofErr w:type="spellStart"/>
      <w:r w:rsidRPr="00591AE4">
        <w:rPr>
          <w:rFonts w:ascii="Arial" w:eastAsia="Times New Roman" w:hAnsi="Arial" w:cs="Arial"/>
          <w:kern w:val="0"/>
          <w:sz w:val="22"/>
          <w:szCs w:val="22"/>
          <w:lang w:val="es-ES"/>
          <w14:ligatures w14:val="none"/>
        </w:rPr>
        <w:t>hiperparámetros</w:t>
      </w:r>
      <w:proofErr w:type="spellEnd"/>
      <w:r w:rsidRPr="00591AE4">
        <w:rPr>
          <w:rFonts w:ascii="Arial" w:eastAsia="Times New Roman" w:hAnsi="Arial" w:cs="Arial"/>
          <w:kern w:val="0"/>
          <w:sz w:val="22"/>
          <w:szCs w:val="22"/>
          <w:lang w:val="es-ES"/>
          <w14:ligatures w14:val="none"/>
        </w:rPr>
        <w:t xml:space="preserve">, necesidad de grandes volúmenes de datos limpios y menor interpretabilidad (Bandara et al., 2020). En la competición M5, su rendimiento fue inferior al de los modelos </w:t>
      </w:r>
      <w:proofErr w:type="spellStart"/>
      <w:r w:rsidRPr="00591AE4">
        <w:rPr>
          <w:rFonts w:ascii="Arial" w:eastAsia="Times New Roman" w:hAnsi="Arial" w:cs="Arial"/>
          <w:kern w:val="0"/>
          <w:sz w:val="22"/>
          <w:szCs w:val="22"/>
          <w:lang w:val="es-ES"/>
          <w14:ligatures w14:val="none"/>
        </w:rPr>
        <w:t>boosting</w:t>
      </w:r>
      <w:proofErr w:type="spellEnd"/>
      <w:r w:rsidRPr="00591AE4">
        <w:rPr>
          <w:rFonts w:ascii="Arial" w:eastAsia="Times New Roman" w:hAnsi="Arial" w:cs="Arial"/>
          <w:kern w:val="0"/>
          <w:sz w:val="22"/>
          <w:szCs w:val="22"/>
          <w:lang w:val="es-ES"/>
          <w14:ligatures w14:val="none"/>
        </w:rPr>
        <w:t>, lo que ha generado debate sobre su aplicabilidad en entornos reales.</w:t>
      </w:r>
    </w:p>
    <w:p w14:paraId="2EDB770C"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Su inclusión permite comparar enfoques tabulares y secuenciales bajo un mismo marco, considerando tanto precisión como eficiencia computacional.</w:t>
      </w:r>
    </w:p>
    <w:p w14:paraId="3472D6DC" w14:textId="77777777" w:rsidR="00591AE4" w:rsidRPr="00591AE4" w:rsidRDefault="00591AE4" w:rsidP="00591AE4">
      <w:pPr>
        <w:spacing w:before="100" w:beforeAutospacing="1" w:after="100" w:afterAutospacing="1" w:line="240" w:lineRule="auto"/>
        <w:outlineLvl w:val="2"/>
        <w:rPr>
          <w:rFonts w:ascii="Arial" w:eastAsia="Times New Roman" w:hAnsi="Arial" w:cs="Arial"/>
          <w:b/>
          <w:bCs/>
          <w:kern w:val="0"/>
          <w:sz w:val="22"/>
          <w:szCs w:val="22"/>
          <w:lang w:val="es-ES"/>
          <w14:ligatures w14:val="none"/>
        </w:rPr>
      </w:pPr>
      <w:r w:rsidRPr="00591AE4">
        <w:rPr>
          <w:rFonts w:ascii="Arial" w:eastAsia="Times New Roman" w:hAnsi="Arial" w:cs="Arial"/>
          <w:b/>
          <w:bCs/>
          <w:kern w:val="0"/>
          <w:sz w:val="22"/>
          <w:szCs w:val="22"/>
          <w:lang w:val="es-ES"/>
          <w14:ligatures w14:val="none"/>
        </w:rPr>
        <w:t xml:space="preserve">2.5. Interpretabilidad en </w:t>
      </w:r>
      <w:proofErr w:type="spellStart"/>
      <w:r w:rsidRPr="00591AE4">
        <w:rPr>
          <w:rFonts w:ascii="Arial" w:eastAsia="Times New Roman" w:hAnsi="Arial" w:cs="Arial"/>
          <w:b/>
          <w:bCs/>
          <w:kern w:val="0"/>
          <w:sz w:val="22"/>
          <w:szCs w:val="22"/>
          <w:lang w:val="es-ES"/>
          <w14:ligatures w14:val="none"/>
        </w:rPr>
        <w:t>forecasting</w:t>
      </w:r>
      <w:proofErr w:type="spellEnd"/>
      <w:r w:rsidRPr="00591AE4">
        <w:rPr>
          <w:rFonts w:ascii="Arial" w:eastAsia="Times New Roman" w:hAnsi="Arial" w:cs="Arial"/>
          <w:b/>
          <w:bCs/>
          <w:kern w:val="0"/>
          <w:sz w:val="22"/>
          <w:szCs w:val="22"/>
          <w:lang w:val="es-ES"/>
          <w14:ligatures w14:val="none"/>
        </w:rPr>
        <w:t>: valores SHAP</w:t>
      </w:r>
    </w:p>
    <w:p w14:paraId="34A9850C"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La interpretabilidad constituye un requisito clave en aplicaciones empresariales. Los valores SHAP (Lundberg &amp; Lee, 2017) se han consolidado como una herramienta estándar para explicar modelos complejos, especialmente los basados en árboles.</w:t>
      </w:r>
    </w:p>
    <w:p w14:paraId="6661F001"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SHAP permite analizar la contribución marginal de cada variable, identificar patrones y evaluar la estabilidad del modelo. En este trabajo se aplica sobre las predicciones base, dado que la reconciliación constituye un ajuste posterior.</w:t>
      </w:r>
    </w:p>
    <w:p w14:paraId="56413D9D" w14:textId="77777777" w:rsidR="00591AE4" w:rsidRPr="00591AE4" w:rsidRDefault="00591AE4" w:rsidP="00591AE4">
      <w:pPr>
        <w:spacing w:before="100" w:beforeAutospacing="1" w:after="100" w:afterAutospacing="1" w:line="240" w:lineRule="auto"/>
        <w:outlineLvl w:val="2"/>
        <w:rPr>
          <w:rFonts w:ascii="Arial" w:eastAsia="Times New Roman" w:hAnsi="Arial" w:cs="Arial"/>
          <w:b/>
          <w:bCs/>
          <w:kern w:val="0"/>
          <w:sz w:val="22"/>
          <w:szCs w:val="22"/>
          <w:lang w:val="es-ES"/>
          <w14:ligatures w14:val="none"/>
        </w:rPr>
      </w:pPr>
      <w:r w:rsidRPr="00591AE4">
        <w:rPr>
          <w:rFonts w:ascii="Arial" w:eastAsia="Times New Roman" w:hAnsi="Arial" w:cs="Arial"/>
          <w:b/>
          <w:bCs/>
          <w:kern w:val="0"/>
          <w:sz w:val="22"/>
          <w:szCs w:val="22"/>
          <w:lang w:val="es-ES"/>
          <w14:ligatures w14:val="none"/>
        </w:rPr>
        <w:t xml:space="preserve">2.6. La competición M5 </w:t>
      </w:r>
      <w:proofErr w:type="spellStart"/>
      <w:r w:rsidRPr="00591AE4">
        <w:rPr>
          <w:rFonts w:ascii="Arial" w:eastAsia="Times New Roman" w:hAnsi="Arial" w:cs="Arial"/>
          <w:b/>
          <w:bCs/>
          <w:kern w:val="0"/>
          <w:sz w:val="22"/>
          <w:szCs w:val="22"/>
          <w:lang w:val="es-ES"/>
          <w14:ligatures w14:val="none"/>
        </w:rPr>
        <w:t>Forecasting</w:t>
      </w:r>
      <w:proofErr w:type="spellEnd"/>
      <w:r w:rsidRPr="00591AE4">
        <w:rPr>
          <w:rFonts w:ascii="Arial" w:eastAsia="Times New Roman" w:hAnsi="Arial" w:cs="Arial"/>
          <w:b/>
          <w:bCs/>
          <w:kern w:val="0"/>
          <w:sz w:val="22"/>
          <w:szCs w:val="22"/>
          <w:lang w:val="es-ES"/>
          <w14:ligatures w14:val="none"/>
        </w:rPr>
        <w:t xml:space="preserve"> y trabajos relacionados</w:t>
      </w:r>
    </w:p>
    <w:p w14:paraId="1FE5956A"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El </w:t>
      </w:r>
      <w:proofErr w:type="spellStart"/>
      <w:r w:rsidRPr="00591AE4">
        <w:rPr>
          <w:rFonts w:ascii="Arial" w:eastAsia="Times New Roman" w:hAnsi="Arial" w:cs="Arial"/>
          <w:kern w:val="0"/>
          <w:sz w:val="22"/>
          <w:szCs w:val="22"/>
          <w:lang w:val="es-ES"/>
          <w14:ligatures w14:val="none"/>
        </w:rPr>
        <w:t>dataset</w:t>
      </w:r>
      <w:proofErr w:type="spellEnd"/>
      <w:r w:rsidRPr="00591AE4">
        <w:rPr>
          <w:rFonts w:ascii="Arial" w:eastAsia="Times New Roman" w:hAnsi="Arial" w:cs="Arial"/>
          <w:kern w:val="0"/>
          <w:sz w:val="22"/>
          <w:szCs w:val="22"/>
          <w:lang w:val="es-ES"/>
          <w14:ligatures w14:val="none"/>
        </w:rPr>
        <w:t xml:space="preserve"> M5 ha dado lugar a numerosos trabajos académicos y soluciones industriales. Las estrategias más exitosas combinan </w:t>
      </w:r>
      <w:proofErr w:type="spellStart"/>
      <w:r w:rsidRPr="00591AE4">
        <w:rPr>
          <w:rFonts w:ascii="Arial" w:eastAsia="Times New Roman" w:hAnsi="Arial" w:cs="Arial"/>
          <w:kern w:val="0"/>
          <w:sz w:val="22"/>
          <w:szCs w:val="22"/>
          <w:lang w:val="es-ES"/>
          <w14:ligatures w14:val="none"/>
        </w:rPr>
        <w:t>feature</w:t>
      </w:r>
      <w:proofErr w:type="spellEnd"/>
      <w:r w:rsidRPr="00591AE4">
        <w:rPr>
          <w:rFonts w:ascii="Arial" w:eastAsia="Times New Roman" w:hAnsi="Arial" w:cs="Arial"/>
          <w:kern w:val="0"/>
          <w:sz w:val="22"/>
          <w:szCs w:val="22"/>
          <w:lang w:val="es-ES"/>
          <w14:ligatures w14:val="none"/>
        </w:rPr>
        <w:t xml:space="preserve"> </w:t>
      </w:r>
      <w:proofErr w:type="spellStart"/>
      <w:r w:rsidRPr="00591AE4">
        <w:rPr>
          <w:rFonts w:ascii="Arial" w:eastAsia="Times New Roman" w:hAnsi="Arial" w:cs="Arial"/>
          <w:kern w:val="0"/>
          <w:sz w:val="22"/>
          <w:szCs w:val="22"/>
          <w:lang w:val="es-ES"/>
          <w14:ligatures w14:val="none"/>
        </w:rPr>
        <w:t>engineering</w:t>
      </w:r>
      <w:proofErr w:type="spellEnd"/>
      <w:r w:rsidRPr="00591AE4">
        <w:rPr>
          <w:rFonts w:ascii="Arial" w:eastAsia="Times New Roman" w:hAnsi="Arial" w:cs="Arial"/>
          <w:kern w:val="0"/>
          <w:sz w:val="22"/>
          <w:szCs w:val="22"/>
          <w:lang w:val="es-ES"/>
          <w14:ligatures w14:val="none"/>
        </w:rPr>
        <w:t xml:space="preserve"> intensivo, modelos </w:t>
      </w:r>
      <w:proofErr w:type="spellStart"/>
      <w:r w:rsidRPr="00591AE4">
        <w:rPr>
          <w:rFonts w:ascii="Arial" w:eastAsia="Times New Roman" w:hAnsi="Arial" w:cs="Arial"/>
          <w:kern w:val="0"/>
          <w:sz w:val="22"/>
          <w:szCs w:val="22"/>
          <w:lang w:val="es-ES"/>
          <w14:ligatures w14:val="none"/>
        </w:rPr>
        <w:t>boosting</w:t>
      </w:r>
      <w:proofErr w:type="spellEnd"/>
      <w:r w:rsidRPr="00591AE4">
        <w:rPr>
          <w:rFonts w:ascii="Arial" w:eastAsia="Times New Roman" w:hAnsi="Arial" w:cs="Arial"/>
          <w:kern w:val="0"/>
          <w:sz w:val="22"/>
          <w:szCs w:val="22"/>
          <w:lang w:val="es-ES"/>
          <w14:ligatures w14:val="none"/>
        </w:rPr>
        <w:t xml:space="preserve"> altamente optimizados, modelos globales y, en algunos casos, técnicas de reconciliación jerárquica. La </w:t>
      </w:r>
      <w:r w:rsidRPr="00591AE4">
        <w:rPr>
          <w:rFonts w:ascii="Arial" w:eastAsia="Times New Roman" w:hAnsi="Arial" w:cs="Arial"/>
          <w:kern w:val="0"/>
          <w:sz w:val="22"/>
          <w:szCs w:val="22"/>
          <w:lang w:val="es-ES"/>
          <w14:ligatures w14:val="none"/>
        </w:rPr>
        <w:lastRenderedPageBreak/>
        <w:t>métrica WRMSSE permite evaluar el rendimiento de forma ponderada según la importancia de cada serie.</w:t>
      </w:r>
    </w:p>
    <w:p w14:paraId="45A1D421"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Aunque existen trabajos centrados en modelos </w:t>
      </w:r>
      <w:proofErr w:type="spellStart"/>
      <w:r w:rsidRPr="00591AE4">
        <w:rPr>
          <w:rFonts w:ascii="Arial" w:eastAsia="Times New Roman" w:hAnsi="Arial" w:cs="Arial"/>
          <w:kern w:val="0"/>
          <w:sz w:val="22"/>
          <w:szCs w:val="22"/>
          <w:lang w:val="es-ES"/>
          <w14:ligatures w14:val="none"/>
        </w:rPr>
        <w:t>boosting</w:t>
      </w:r>
      <w:proofErr w:type="spellEnd"/>
      <w:r w:rsidRPr="00591AE4">
        <w:rPr>
          <w:rFonts w:ascii="Arial" w:eastAsia="Times New Roman" w:hAnsi="Arial" w:cs="Arial"/>
          <w:kern w:val="0"/>
          <w:sz w:val="22"/>
          <w:szCs w:val="22"/>
          <w:lang w:val="es-ES"/>
          <w14:ligatures w14:val="none"/>
        </w:rPr>
        <w:t>, otros en LSTM y algunos en reconciliación jerárquica, no es habitual encontrar un enfoque que integre estos elementos en un mismo pipeline orientado a la comparación sistemática.</w:t>
      </w:r>
    </w:p>
    <w:p w14:paraId="6C53E0E9" w14:textId="77777777" w:rsidR="00591AE4" w:rsidRPr="00591AE4" w:rsidRDefault="00591AE4" w:rsidP="00591AE4">
      <w:pPr>
        <w:spacing w:before="100" w:beforeAutospacing="1" w:after="100" w:afterAutospacing="1" w:line="240" w:lineRule="auto"/>
        <w:outlineLvl w:val="2"/>
        <w:rPr>
          <w:rFonts w:ascii="Arial" w:eastAsia="Times New Roman" w:hAnsi="Arial" w:cs="Arial"/>
          <w:b/>
          <w:bCs/>
          <w:kern w:val="0"/>
          <w:sz w:val="22"/>
          <w:szCs w:val="22"/>
          <w:lang w:val="es-ES"/>
          <w14:ligatures w14:val="none"/>
        </w:rPr>
      </w:pPr>
      <w:r w:rsidRPr="00591AE4">
        <w:rPr>
          <w:rFonts w:ascii="Arial" w:eastAsia="Times New Roman" w:hAnsi="Arial" w:cs="Arial"/>
          <w:b/>
          <w:bCs/>
          <w:kern w:val="0"/>
          <w:sz w:val="22"/>
          <w:szCs w:val="22"/>
          <w:lang w:val="es-ES"/>
          <w14:ligatures w14:val="none"/>
        </w:rPr>
        <w:t>2.7. Síntesis y relevancia del trabajo</w:t>
      </w:r>
    </w:p>
    <w:p w14:paraId="68E82C33" w14:textId="757790C9"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La literatura muestra que la predicción de demanda en estructuras jerárquicas requiere modelos capaces de manejar alta dimensionalidad, capturar patrones temporales y </w:t>
      </w:r>
      <w:r w:rsidR="00C4302D" w:rsidRPr="009B6BCB">
        <w:rPr>
          <w:rFonts w:ascii="Arial" w:eastAsia="Times New Roman" w:hAnsi="Arial" w:cs="Arial"/>
          <w:kern w:val="0"/>
          <w:sz w:val="22"/>
          <w:szCs w:val="22"/>
          <w:lang w:val="es-ES"/>
          <w14:ligatures w14:val="none"/>
        </w:rPr>
        <w:t>mantene</w:t>
      </w:r>
      <w:r w:rsidRPr="00591AE4">
        <w:rPr>
          <w:rFonts w:ascii="Arial" w:eastAsia="Times New Roman" w:hAnsi="Arial" w:cs="Arial"/>
          <w:kern w:val="0"/>
          <w:sz w:val="22"/>
          <w:szCs w:val="22"/>
          <w:lang w:val="es-ES"/>
          <w14:ligatures w14:val="none"/>
        </w:rPr>
        <w:t>r coherencia entre niveles.</w:t>
      </w:r>
    </w:p>
    <w:p w14:paraId="2DF48D8D"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Los modelos basados en árboles destacan por su eficiencia en entornos tabulares, mientras que las LSTM permiten modelar dependencias temporales de largo alcance, aunque con mayor coste computacional y menor interpretabilidad. La reconciliación jerárquica mediante </w:t>
      </w:r>
      <w:proofErr w:type="spellStart"/>
      <w:r w:rsidRPr="00591AE4">
        <w:rPr>
          <w:rFonts w:ascii="Arial" w:eastAsia="Times New Roman" w:hAnsi="Arial" w:cs="Arial"/>
          <w:kern w:val="0"/>
          <w:sz w:val="22"/>
          <w:szCs w:val="22"/>
          <w:lang w:val="es-ES"/>
          <w14:ligatures w14:val="none"/>
        </w:rPr>
        <w:t>MinT</w:t>
      </w:r>
      <w:proofErr w:type="spellEnd"/>
      <w:r w:rsidRPr="00591AE4">
        <w:rPr>
          <w:rFonts w:ascii="Arial" w:eastAsia="Times New Roman" w:hAnsi="Arial" w:cs="Arial"/>
          <w:kern w:val="0"/>
          <w:sz w:val="22"/>
          <w:szCs w:val="22"/>
          <w:lang w:val="es-ES"/>
          <w14:ligatures w14:val="none"/>
        </w:rPr>
        <w:t xml:space="preserve"> se consolida como un componente clave para asegurar coherencia estructural, mientras que SHAP facilita la interpretación de modelos complejos.</w:t>
      </w:r>
    </w:p>
    <w:p w14:paraId="19E718B7"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A pesar de estos avances, la literatura carece de un análisis integrado que combine estos elementos dentro de un mismo marco metodológico. Este trabajo aborda dicho vacío mediante una comparación sistemática que evalúa rendimiento, coherencia jerárquica, coste computacional e interpretabilidad en el contexto del </w:t>
      </w:r>
      <w:proofErr w:type="spellStart"/>
      <w:r w:rsidRPr="00591AE4">
        <w:rPr>
          <w:rFonts w:ascii="Arial" w:eastAsia="Times New Roman" w:hAnsi="Arial" w:cs="Arial"/>
          <w:kern w:val="0"/>
          <w:sz w:val="22"/>
          <w:szCs w:val="22"/>
          <w:lang w:val="es-ES"/>
          <w14:ligatures w14:val="none"/>
        </w:rPr>
        <w:t>dataset</w:t>
      </w:r>
      <w:proofErr w:type="spellEnd"/>
      <w:r w:rsidRPr="00591AE4">
        <w:rPr>
          <w:rFonts w:ascii="Arial" w:eastAsia="Times New Roman" w:hAnsi="Arial" w:cs="Arial"/>
          <w:kern w:val="0"/>
          <w:sz w:val="22"/>
          <w:szCs w:val="22"/>
          <w:lang w:val="es-ES"/>
          <w14:ligatures w14:val="none"/>
        </w:rPr>
        <w:t xml:space="preserve"> M5.</w:t>
      </w:r>
    </w:p>
    <w:p w14:paraId="51ABEAB0" w14:textId="77777777" w:rsidR="00591AE4" w:rsidRPr="00591AE4" w:rsidRDefault="00591AE4" w:rsidP="00591AE4">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A partir de esta revisión, se refuerza la hipótesis planteada en el Capítulo 1: los modelos basados en árboles, combinados con técnicas de reconciliación jerárquica, pueden ofrecer un rendimiento competitivo frente a modelos LSTM, con menor coste computacional y mayor interpretabilidad.</w:t>
      </w:r>
    </w:p>
    <w:p w14:paraId="281C9676" w14:textId="479DC534" w:rsidR="00A67674" w:rsidRPr="009B6BCB" w:rsidRDefault="00A67674" w:rsidP="00CD2F39">
      <w:pPr>
        <w:rPr>
          <w:rFonts w:ascii="Arial" w:hAnsi="Arial" w:cs="Arial"/>
          <w:b/>
          <w:bCs/>
          <w:sz w:val="22"/>
          <w:szCs w:val="22"/>
          <w:lang w:val="es-ES"/>
        </w:rPr>
      </w:pPr>
      <w:proofErr w:type="spellStart"/>
      <w:r w:rsidRPr="009B6BCB">
        <w:rPr>
          <w:rFonts w:ascii="Arial" w:hAnsi="Arial" w:cs="Arial"/>
          <w:b/>
          <w:bCs/>
          <w:sz w:val="22"/>
          <w:szCs w:val="22"/>
          <w:lang w:val="es-ES"/>
        </w:rPr>
        <w:t>Bibliografia</w:t>
      </w:r>
      <w:proofErr w:type="spellEnd"/>
    </w:p>
    <w:p w14:paraId="28BB2DE4" w14:textId="6BC4F193" w:rsidR="00A67674" w:rsidRPr="009B6BCB" w:rsidRDefault="00A67674" w:rsidP="00A67674">
      <w:pPr>
        <w:rPr>
          <w:rFonts w:ascii="Arial" w:hAnsi="Arial" w:cs="Arial"/>
          <w:sz w:val="22"/>
          <w:szCs w:val="22"/>
        </w:rPr>
      </w:pPr>
      <w:r w:rsidRPr="009B6BCB">
        <w:rPr>
          <w:rFonts w:ascii="Arial" w:hAnsi="Arial" w:cs="Arial"/>
          <w:sz w:val="22"/>
          <w:szCs w:val="22"/>
          <w:lang w:val="es-ES"/>
        </w:rPr>
        <w:t xml:space="preserve">Bandara, K., </w:t>
      </w:r>
      <w:proofErr w:type="spellStart"/>
      <w:r w:rsidRPr="009B6BCB">
        <w:rPr>
          <w:rFonts w:ascii="Arial" w:hAnsi="Arial" w:cs="Arial"/>
          <w:sz w:val="22"/>
          <w:szCs w:val="22"/>
          <w:lang w:val="es-ES"/>
        </w:rPr>
        <w:t>Bergmeir</w:t>
      </w:r>
      <w:proofErr w:type="spellEnd"/>
      <w:r w:rsidRPr="009B6BCB">
        <w:rPr>
          <w:rFonts w:ascii="Arial" w:hAnsi="Arial" w:cs="Arial"/>
          <w:sz w:val="22"/>
          <w:szCs w:val="22"/>
          <w:lang w:val="es-ES"/>
        </w:rPr>
        <w:t xml:space="preserve">, C., &amp; </w:t>
      </w:r>
      <w:proofErr w:type="spellStart"/>
      <w:r w:rsidRPr="009B6BCB">
        <w:rPr>
          <w:rFonts w:ascii="Arial" w:hAnsi="Arial" w:cs="Arial"/>
          <w:sz w:val="22"/>
          <w:szCs w:val="22"/>
          <w:lang w:val="es-ES"/>
        </w:rPr>
        <w:t>Smyl</w:t>
      </w:r>
      <w:proofErr w:type="spellEnd"/>
      <w:r w:rsidRPr="009B6BCB">
        <w:rPr>
          <w:rFonts w:ascii="Arial" w:hAnsi="Arial" w:cs="Arial"/>
          <w:sz w:val="22"/>
          <w:szCs w:val="22"/>
          <w:lang w:val="es-ES"/>
        </w:rPr>
        <w:t xml:space="preserve">, S. (2020). </w:t>
      </w:r>
      <w:r w:rsidRPr="009B6BCB">
        <w:rPr>
          <w:rFonts w:ascii="Arial" w:hAnsi="Arial" w:cs="Arial"/>
          <w:sz w:val="22"/>
          <w:szCs w:val="22"/>
        </w:rPr>
        <w:t xml:space="preserve">Forecasting across time series databases using recurrent neural networks on groups of similar series: A clustering approach. </w:t>
      </w:r>
      <w:r w:rsidRPr="009B6BCB">
        <w:rPr>
          <w:rFonts w:ascii="Arial" w:hAnsi="Arial" w:cs="Arial"/>
          <w:i/>
          <w:iCs/>
          <w:sz w:val="22"/>
          <w:szCs w:val="22"/>
        </w:rPr>
        <w:t>Expert Systems with Applications, 140</w:t>
      </w:r>
      <w:r w:rsidRPr="009B6BCB">
        <w:rPr>
          <w:rFonts w:ascii="Arial" w:hAnsi="Arial" w:cs="Arial"/>
          <w:sz w:val="22"/>
          <w:szCs w:val="22"/>
        </w:rPr>
        <w:t>, 112896.</w:t>
      </w:r>
    </w:p>
    <w:p w14:paraId="2FDC55BA" w14:textId="77777777" w:rsidR="00A67674" w:rsidRPr="009B6BCB" w:rsidRDefault="00A67674" w:rsidP="00A67674">
      <w:pPr>
        <w:rPr>
          <w:rFonts w:ascii="Arial" w:hAnsi="Arial" w:cs="Arial"/>
          <w:sz w:val="22"/>
          <w:szCs w:val="22"/>
        </w:rPr>
      </w:pPr>
      <w:proofErr w:type="spellStart"/>
      <w:r w:rsidRPr="009B6BCB">
        <w:rPr>
          <w:rFonts w:ascii="Arial" w:hAnsi="Arial" w:cs="Arial"/>
          <w:sz w:val="22"/>
          <w:szCs w:val="22"/>
        </w:rPr>
        <w:t>Breiman</w:t>
      </w:r>
      <w:proofErr w:type="spellEnd"/>
      <w:r w:rsidRPr="009B6BCB">
        <w:rPr>
          <w:rFonts w:ascii="Arial" w:hAnsi="Arial" w:cs="Arial"/>
          <w:sz w:val="22"/>
          <w:szCs w:val="22"/>
        </w:rPr>
        <w:t xml:space="preserve">, L. (2001). Random forests. </w:t>
      </w:r>
      <w:r w:rsidRPr="009B6BCB">
        <w:rPr>
          <w:rFonts w:ascii="Arial" w:hAnsi="Arial" w:cs="Arial"/>
          <w:i/>
          <w:iCs/>
          <w:sz w:val="22"/>
          <w:szCs w:val="22"/>
        </w:rPr>
        <w:t>Machine Learning, 45</w:t>
      </w:r>
      <w:r w:rsidRPr="009B6BCB">
        <w:rPr>
          <w:rFonts w:ascii="Arial" w:hAnsi="Arial" w:cs="Arial"/>
          <w:sz w:val="22"/>
          <w:szCs w:val="22"/>
        </w:rPr>
        <w:t>(1), 5–32.</w:t>
      </w:r>
    </w:p>
    <w:p w14:paraId="32D18881" w14:textId="77777777" w:rsidR="00A67674" w:rsidRPr="009B6BCB" w:rsidRDefault="00A67674" w:rsidP="00A67674">
      <w:pPr>
        <w:rPr>
          <w:rFonts w:ascii="Arial" w:hAnsi="Arial" w:cs="Arial"/>
          <w:sz w:val="22"/>
          <w:szCs w:val="22"/>
        </w:rPr>
      </w:pPr>
      <w:r w:rsidRPr="009B6BCB">
        <w:rPr>
          <w:rFonts w:ascii="Arial" w:hAnsi="Arial" w:cs="Arial"/>
          <w:sz w:val="22"/>
          <w:szCs w:val="22"/>
        </w:rPr>
        <w:t xml:space="preserve">Chen, T., &amp; </w:t>
      </w:r>
      <w:proofErr w:type="spellStart"/>
      <w:r w:rsidRPr="009B6BCB">
        <w:rPr>
          <w:rFonts w:ascii="Arial" w:hAnsi="Arial" w:cs="Arial"/>
          <w:sz w:val="22"/>
          <w:szCs w:val="22"/>
        </w:rPr>
        <w:t>Guestrin</w:t>
      </w:r>
      <w:proofErr w:type="spellEnd"/>
      <w:r w:rsidRPr="009B6BCB">
        <w:rPr>
          <w:rFonts w:ascii="Arial" w:hAnsi="Arial" w:cs="Arial"/>
          <w:sz w:val="22"/>
          <w:szCs w:val="22"/>
        </w:rPr>
        <w:t xml:space="preserve">, C. (2016). </w:t>
      </w:r>
      <w:proofErr w:type="spellStart"/>
      <w:r w:rsidRPr="009B6BCB">
        <w:rPr>
          <w:rFonts w:ascii="Arial" w:hAnsi="Arial" w:cs="Arial"/>
          <w:sz w:val="22"/>
          <w:szCs w:val="22"/>
        </w:rPr>
        <w:t>XGBoost</w:t>
      </w:r>
      <w:proofErr w:type="spellEnd"/>
      <w:r w:rsidRPr="009B6BCB">
        <w:rPr>
          <w:rFonts w:ascii="Arial" w:hAnsi="Arial" w:cs="Arial"/>
          <w:sz w:val="22"/>
          <w:szCs w:val="22"/>
        </w:rPr>
        <w:t xml:space="preserve">: A scalable tree boosting system. In </w:t>
      </w:r>
      <w:r w:rsidRPr="009B6BCB">
        <w:rPr>
          <w:rFonts w:ascii="Arial" w:hAnsi="Arial" w:cs="Arial"/>
          <w:i/>
          <w:iCs/>
          <w:sz w:val="22"/>
          <w:szCs w:val="22"/>
        </w:rPr>
        <w:t>Proceedings of the 22nd ACM SIGKDD International Conference on Knowledge Discovery and Data Mining</w:t>
      </w:r>
      <w:r w:rsidRPr="009B6BCB">
        <w:rPr>
          <w:rFonts w:ascii="Arial" w:hAnsi="Arial" w:cs="Arial"/>
          <w:sz w:val="22"/>
          <w:szCs w:val="22"/>
        </w:rPr>
        <w:t xml:space="preserve"> (pp. 785–794).</w:t>
      </w:r>
    </w:p>
    <w:p w14:paraId="2B6E7EBA" w14:textId="77777777" w:rsidR="00A67674" w:rsidRPr="009B6BCB" w:rsidRDefault="00A67674" w:rsidP="00A67674">
      <w:pPr>
        <w:rPr>
          <w:rFonts w:ascii="Arial" w:hAnsi="Arial" w:cs="Arial"/>
          <w:sz w:val="22"/>
          <w:szCs w:val="22"/>
        </w:rPr>
      </w:pPr>
      <w:proofErr w:type="spellStart"/>
      <w:r w:rsidRPr="009B6BCB">
        <w:rPr>
          <w:rFonts w:ascii="Arial" w:hAnsi="Arial" w:cs="Arial"/>
          <w:sz w:val="22"/>
          <w:szCs w:val="22"/>
        </w:rPr>
        <w:t>Hewamalage</w:t>
      </w:r>
      <w:proofErr w:type="spellEnd"/>
      <w:r w:rsidRPr="009B6BCB">
        <w:rPr>
          <w:rFonts w:ascii="Arial" w:hAnsi="Arial" w:cs="Arial"/>
          <w:sz w:val="22"/>
          <w:szCs w:val="22"/>
        </w:rPr>
        <w:t xml:space="preserve">, H., </w:t>
      </w:r>
      <w:proofErr w:type="spellStart"/>
      <w:r w:rsidRPr="009B6BCB">
        <w:rPr>
          <w:rFonts w:ascii="Arial" w:hAnsi="Arial" w:cs="Arial"/>
          <w:sz w:val="22"/>
          <w:szCs w:val="22"/>
        </w:rPr>
        <w:t>Bergmeir</w:t>
      </w:r>
      <w:proofErr w:type="spellEnd"/>
      <w:r w:rsidRPr="009B6BCB">
        <w:rPr>
          <w:rFonts w:ascii="Arial" w:hAnsi="Arial" w:cs="Arial"/>
          <w:sz w:val="22"/>
          <w:szCs w:val="22"/>
        </w:rPr>
        <w:t xml:space="preserve">, C., &amp; Bandara, K. (2021). Recurrent neural networks for time series forecasting: Current status and future directions. </w:t>
      </w:r>
      <w:r w:rsidRPr="009B6BCB">
        <w:rPr>
          <w:rFonts w:ascii="Arial" w:hAnsi="Arial" w:cs="Arial"/>
          <w:i/>
          <w:iCs/>
          <w:sz w:val="22"/>
          <w:szCs w:val="22"/>
        </w:rPr>
        <w:t>International Journal of Forecasting, 37</w:t>
      </w:r>
      <w:r w:rsidRPr="009B6BCB">
        <w:rPr>
          <w:rFonts w:ascii="Arial" w:hAnsi="Arial" w:cs="Arial"/>
          <w:sz w:val="22"/>
          <w:szCs w:val="22"/>
        </w:rPr>
        <w:t>(1), 388–427.</w:t>
      </w:r>
    </w:p>
    <w:p w14:paraId="49007272" w14:textId="77777777" w:rsidR="00A67674" w:rsidRPr="009B6BCB" w:rsidRDefault="00A67674" w:rsidP="00A67674">
      <w:pPr>
        <w:rPr>
          <w:rFonts w:ascii="Arial" w:hAnsi="Arial" w:cs="Arial"/>
          <w:sz w:val="22"/>
          <w:szCs w:val="22"/>
        </w:rPr>
      </w:pPr>
      <w:r w:rsidRPr="009B6BCB">
        <w:rPr>
          <w:rFonts w:ascii="Arial" w:hAnsi="Arial" w:cs="Arial"/>
          <w:sz w:val="22"/>
          <w:szCs w:val="22"/>
        </w:rPr>
        <w:t xml:space="preserve">Hochreiter, S., &amp; </w:t>
      </w:r>
      <w:proofErr w:type="spellStart"/>
      <w:r w:rsidRPr="009B6BCB">
        <w:rPr>
          <w:rFonts w:ascii="Arial" w:hAnsi="Arial" w:cs="Arial"/>
          <w:sz w:val="22"/>
          <w:szCs w:val="22"/>
        </w:rPr>
        <w:t>Schmidhuber</w:t>
      </w:r>
      <w:proofErr w:type="spellEnd"/>
      <w:r w:rsidRPr="009B6BCB">
        <w:rPr>
          <w:rFonts w:ascii="Arial" w:hAnsi="Arial" w:cs="Arial"/>
          <w:sz w:val="22"/>
          <w:szCs w:val="22"/>
        </w:rPr>
        <w:t xml:space="preserve">, J. (1997). Long short-term memory. </w:t>
      </w:r>
      <w:r w:rsidRPr="009B6BCB">
        <w:rPr>
          <w:rFonts w:ascii="Arial" w:hAnsi="Arial" w:cs="Arial"/>
          <w:i/>
          <w:iCs/>
          <w:sz w:val="22"/>
          <w:szCs w:val="22"/>
        </w:rPr>
        <w:t>Neural Computation, 9</w:t>
      </w:r>
      <w:r w:rsidRPr="009B6BCB">
        <w:rPr>
          <w:rFonts w:ascii="Arial" w:hAnsi="Arial" w:cs="Arial"/>
          <w:sz w:val="22"/>
          <w:szCs w:val="22"/>
        </w:rPr>
        <w:t>(8), 1735–1780.</w:t>
      </w:r>
    </w:p>
    <w:p w14:paraId="31336731" w14:textId="77777777" w:rsidR="00A67674" w:rsidRPr="009B6BCB" w:rsidRDefault="00A67674" w:rsidP="00A67674">
      <w:pPr>
        <w:rPr>
          <w:rFonts w:ascii="Arial" w:hAnsi="Arial" w:cs="Arial"/>
          <w:sz w:val="22"/>
          <w:szCs w:val="22"/>
        </w:rPr>
      </w:pPr>
      <w:r w:rsidRPr="009B6BCB">
        <w:rPr>
          <w:rFonts w:ascii="Arial" w:hAnsi="Arial" w:cs="Arial"/>
          <w:sz w:val="22"/>
          <w:szCs w:val="22"/>
        </w:rPr>
        <w:lastRenderedPageBreak/>
        <w:t xml:space="preserve">Hyndman, R. J., Ahmed, R. A., Athanasopoulos, G., &amp; Shang, H. L. (2011). Optimal combination forecasts for hierarchical time series. </w:t>
      </w:r>
      <w:r w:rsidRPr="009B6BCB">
        <w:rPr>
          <w:rFonts w:ascii="Arial" w:hAnsi="Arial" w:cs="Arial"/>
          <w:i/>
          <w:iCs/>
          <w:sz w:val="22"/>
          <w:szCs w:val="22"/>
        </w:rPr>
        <w:t>Computational Statistics &amp; Data Analysis, 55</w:t>
      </w:r>
      <w:r w:rsidRPr="009B6BCB">
        <w:rPr>
          <w:rFonts w:ascii="Arial" w:hAnsi="Arial" w:cs="Arial"/>
          <w:sz w:val="22"/>
          <w:szCs w:val="22"/>
        </w:rPr>
        <w:t>(9), 2579–2589.</w:t>
      </w:r>
    </w:p>
    <w:p w14:paraId="1C0A8C3C" w14:textId="77777777" w:rsidR="00A67674" w:rsidRPr="009B6BCB" w:rsidRDefault="00A67674" w:rsidP="00A67674">
      <w:pPr>
        <w:rPr>
          <w:rFonts w:ascii="Arial" w:hAnsi="Arial" w:cs="Arial"/>
          <w:sz w:val="22"/>
          <w:szCs w:val="22"/>
        </w:rPr>
      </w:pPr>
      <w:r w:rsidRPr="009B6BCB">
        <w:rPr>
          <w:rFonts w:ascii="Arial" w:hAnsi="Arial" w:cs="Arial"/>
          <w:sz w:val="22"/>
          <w:szCs w:val="22"/>
        </w:rPr>
        <w:t xml:space="preserve">Hyndman, R. J., &amp; Athanasopoulos, G. (2021). </w:t>
      </w:r>
      <w:r w:rsidRPr="009B6BCB">
        <w:rPr>
          <w:rFonts w:ascii="Arial" w:hAnsi="Arial" w:cs="Arial"/>
          <w:i/>
          <w:iCs/>
          <w:sz w:val="22"/>
          <w:szCs w:val="22"/>
        </w:rPr>
        <w:t>Forecasting: Principles and Practice</w:t>
      </w:r>
      <w:r w:rsidRPr="009B6BCB">
        <w:rPr>
          <w:rFonts w:ascii="Arial" w:hAnsi="Arial" w:cs="Arial"/>
          <w:sz w:val="22"/>
          <w:szCs w:val="22"/>
        </w:rPr>
        <w:t xml:space="preserve"> (3rd ed.). </w:t>
      </w:r>
      <w:proofErr w:type="spellStart"/>
      <w:r w:rsidRPr="009B6BCB">
        <w:rPr>
          <w:rFonts w:ascii="Arial" w:hAnsi="Arial" w:cs="Arial"/>
          <w:sz w:val="22"/>
          <w:szCs w:val="22"/>
        </w:rPr>
        <w:t>OTexts</w:t>
      </w:r>
      <w:proofErr w:type="spellEnd"/>
      <w:r w:rsidRPr="009B6BCB">
        <w:rPr>
          <w:rFonts w:ascii="Arial" w:hAnsi="Arial" w:cs="Arial"/>
          <w:sz w:val="22"/>
          <w:szCs w:val="22"/>
        </w:rPr>
        <w:t>.</w:t>
      </w:r>
    </w:p>
    <w:p w14:paraId="5BB28D92" w14:textId="79F4CCD1" w:rsidR="00A67674" w:rsidRPr="009B6BCB" w:rsidRDefault="00A67674" w:rsidP="00A67674">
      <w:pPr>
        <w:rPr>
          <w:rFonts w:ascii="Arial" w:hAnsi="Arial" w:cs="Arial"/>
          <w:sz w:val="22"/>
          <w:szCs w:val="22"/>
        </w:rPr>
      </w:pPr>
      <w:r w:rsidRPr="009B6BCB">
        <w:rPr>
          <w:rFonts w:ascii="Arial" w:hAnsi="Arial" w:cs="Arial"/>
          <w:sz w:val="22"/>
          <w:szCs w:val="22"/>
        </w:rPr>
        <w:t xml:space="preserve">Ke, G., Meng, Q., Finley, T., Wang, T., Chen, W., Ma, W., &amp; Liu, T. Y. (2017). </w:t>
      </w:r>
      <w:proofErr w:type="spellStart"/>
      <w:r w:rsidRPr="009B6BCB">
        <w:rPr>
          <w:rFonts w:ascii="Arial" w:hAnsi="Arial" w:cs="Arial"/>
          <w:sz w:val="22"/>
          <w:szCs w:val="22"/>
        </w:rPr>
        <w:t>LightGBM</w:t>
      </w:r>
      <w:proofErr w:type="spellEnd"/>
      <w:r w:rsidRPr="009B6BCB">
        <w:rPr>
          <w:rFonts w:ascii="Arial" w:hAnsi="Arial" w:cs="Arial"/>
          <w:sz w:val="22"/>
          <w:szCs w:val="22"/>
        </w:rPr>
        <w:t xml:space="preserve">: A highly efficient gradient boosting decision tree. In </w:t>
      </w:r>
      <w:r w:rsidRPr="009B6BCB">
        <w:rPr>
          <w:rFonts w:ascii="Arial" w:hAnsi="Arial" w:cs="Arial"/>
          <w:i/>
          <w:iCs/>
          <w:sz w:val="22"/>
          <w:szCs w:val="22"/>
        </w:rPr>
        <w:t>Advances in Neural Information Processing Systems</w:t>
      </w:r>
      <w:r w:rsidRPr="009B6BCB">
        <w:rPr>
          <w:rFonts w:ascii="Arial" w:hAnsi="Arial" w:cs="Arial"/>
          <w:sz w:val="22"/>
          <w:szCs w:val="22"/>
        </w:rPr>
        <w:t xml:space="preserve"> (pp. 3146–3154).</w:t>
      </w:r>
    </w:p>
    <w:p w14:paraId="6BEE0795" w14:textId="77777777" w:rsidR="00A67674" w:rsidRPr="009B6BCB" w:rsidRDefault="00A67674" w:rsidP="00A67674">
      <w:pPr>
        <w:rPr>
          <w:rFonts w:ascii="Arial" w:hAnsi="Arial" w:cs="Arial"/>
          <w:sz w:val="22"/>
          <w:szCs w:val="22"/>
        </w:rPr>
      </w:pPr>
      <w:r w:rsidRPr="009B6BCB">
        <w:rPr>
          <w:rFonts w:ascii="Arial" w:hAnsi="Arial" w:cs="Arial"/>
          <w:sz w:val="22"/>
          <w:szCs w:val="22"/>
        </w:rPr>
        <w:t xml:space="preserve">Lundberg, S. M., &amp; Lee, S.-I. (2017). A unified approach to interpreting model predictions. In </w:t>
      </w:r>
      <w:r w:rsidRPr="009B6BCB">
        <w:rPr>
          <w:rFonts w:ascii="Arial" w:hAnsi="Arial" w:cs="Arial"/>
          <w:i/>
          <w:iCs/>
          <w:sz w:val="22"/>
          <w:szCs w:val="22"/>
        </w:rPr>
        <w:t>Advances in Neural Information Processing Systems</w:t>
      </w:r>
      <w:r w:rsidRPr="009B6BCB">
        <w:rPr>
          <w:rFonts w:ascii="Arial" w:hAnsi="Arial" w:cs="Arial"/>
          <w:sz w:val="22"/>
          <w:szCs w:val="22"/>
        </w:rPr>
        <w:t xml:space="preserve"> (pp. 4765–4774).</w:t>
      </w:r>
    </w:p>
    <w:p w14:paraId="25A5CE66" w14:textId="77777777" w:rsidR="00A67674" w:rsidRPr="009B6BCB" w:rsidRDefault="00A67674" w:rsidP="00A67674">
      <w:pPr>
        <w:rPr>
          <w:rFonts w:ascii="Arial" w:hAnsi="Arial" w:cs="Arial"/>
          <w:sz w:val="22"/>
          <w:szCs w:val="22"/>
        </w:rPr>
      </w:pPr>
      <w:proofErr w:type="spellStart"/>
      <w:r w:rsidRPr="009B6BCB">
        <w:rPr>
          <w:rFonts w:ascii="Arial" w:hAnsi="Arial" w:cs="Arial"/>
          <w:sz w:val="22"/>
          <w:szCs w:val="22"/>
        </w:rPr>
        <w:t>Makridakis</w:t>
      </w:r>
      <w:proofErr w:type="spellEnd"/>
      <w:r w:rsidRPr="009B6BCB">
        <w:rPr>
          <w:rFonts w:ascii="Arial" w:hAnsi="Arial" w:cs="Arial"/>
          <w:sz w:val="22"/>
          <w:szCs w:val="22"/>
        </w:rPr>
        <w:t xml:space="preserve">, S., Spiliotis, E., &amp; </w:t>
      </w:r>
      <w:proofErr w:type="spellStart"/>
      <w:r w:rsidRPr="009B6BCB">
        <w:rPr>
          <w:rFonts w:ascii="Arial" w:hAnsi="Arial" w:cs="Arial"/>
          <w:sz w:val="22"/>
          <w:szCs w:val="22"/>
        </w:rPr>
        <w:t>Assimakopoulos</w:t>
      </w:r>
      <w:proofErr w:type="spellEnd"/>
      <w:r w:rsidRPr="009B6BCB">
        <w:rPr>
          <w:rFonts w:ascii="Arial" w:hAnsi="Arial" w:cs="Arial"/>
          <w:sz w:val="22"/>
          <w:szCs w:val="22"/>
        </w:rPr>
        <w:t xml:space="preserve">, V. (2020). The M5 accuracy competition: Results, findings and conclusions. </w:t>
      </w:r>
      <w:r w:rsidRPr="009B6BCB">
        <w:rPr>
          <w:rFonts w:ascii="Arial" w:hAnsi="Arial" w:cs="Arial"/>
          <w:i/>
          <w:iCs/>
          <w:sz w:val="22"/>
          <w:szCs w:val="22"/>
        </w:rPr>
        <w:t>International Journal of Forecasting, 38</w:t>
      </w:r>
      <w:r w:rsidRPr="009B6BCB">
        <w:rPr>
          <w:rFonts w:ascii="Arial" w:hAnsi="Arial" w:cs="Arial"/>
          <w:sz w:val="22"/>
          <w:szCs w:val="22"/>
        </w:rPr>
        <w:t>(4), 1346–1364.</w:t>
      </w:r>
    </w:p>
    <w:p w14:paraId="64EBEEDA" w14:textId="77777777" w:rsidR="00A67674" w:rsidRPr="009B6BCB" w:rsidRDefault="00A67674" w:rsidP="00A67674">
      <w:pPr>
        <w:rPr>
          <w:rFonts w:ascii="Arial" w:hAnsi="Arial" w:cs="Arial"/>
          <w:sz w:val="22"/>
          <w:szCs w:val="22"/>
        </w:rPr>
      </w:pPr>
      <w:r w:rsidRPr="009B6BCB">
        <w:rPr>
          <w:rFonts w:ascii="Arial" w:hAnsi="Arial" w:cs="Arial"/>
          <w:sz w:val="22"/>
          <w:szCs w:val="22"/>
        </w:rPr>
        <w:t xml:space="preserve">Seeger, M. W., Salinas, D., &amp; </w:t>
      </w:r>
      <w:proofErr w:type="spellStart"/>
      <w:r w:rsidRPr="009B6BCB">
        <w:rPr>
          <w:rFonts w:ascii="Arial" w:hAnsi="Arial" w:cs="Arial"/>
          <w:sz w:val="22"/>
          <w:szCs w:val="22"/>
        </w:rPr>
        <w:t>Flunkert</w:t>
      </w:r>
      <w:proofErr w:type="spellEnd"/>
      <w:r w:rsidRPr="009B6BCB">
        <w:rPr>
          <w:rFonts w:ascii="Arial" w:hAnsi="Arial" w:cs="Arial"/>
          <w:sz w:val="22"/>
          <w:szCs w:val="22"/>
        </w:rPr>
        <w:t xml:space="preserve">, V. (2016). Bayesian intermittent demand forecasting for large inventories. In </w:t>
      </w:r>
      <w:r w:rsidRPr="009B6BCB">
        <w:rPr>
          <w:rFonts w:ascii="Arial" w:hAnsi="Arial" w:cs="Arial"/>
          <w:i/>
          <w:iCs/>
          <w:sz w:val="22"/>
          <w:szCs w:val="22"/>
        </w:rPr>
        <w:t>Proceedings of the 36th International Conference on Machine Learning</w:t>
      </w:r>
      <w:r w:rsidRPr="009B6BCB">
        <w:rPr>
          <w:rFonts w:ascii="Arial" w:hAnsi="Arial" w:cs="Arial"/>
          <w:sz w:val="22"/>
          <w:szCs w:val="22"/>
        </w:rPr>
        <w:t>.</w:t>
      </w:r>
    </w:p>
    <w:p w14:paraId="4A370C31" w14:textId="77777777" w:rsidR="00A67674" w:rsidRPr="009B6BCB" w:rsidRDefault="00A67674" w:rsidP="00A67674">
      <w:pPr>
        <w:rPr>
          <w:rFonts w:ascii="Arial" w:hAnsi="Arial" w:cs="Arial"/>
          <w:sz w:val="22"/>
          <w:szCs w:val="22"/>
        </w:rPr>
      </w:pPr>
      <w:proofErr w:type="spellStart"/>
      <w:r w:rsidRPr="009B6BCB">
        <w:rPr>
          <w:rFonts w:ascii="Arial" w:hAnsi="Arial" w:cs="Arial"/>
          <w:sz w:val="22"/>
          <w:szCs w:val="22"/>
        </w:rPr>
        <w:t>Wickramasuriya</w:t>
      </w:r>
      <w:proofErr w:type="spellEnd"/>
      <w:r w:rsidRPr="009B6BCB">
        <w:rPr>
          <w:rFonts w:ascii="Arial" w:hAnsi="Arial" w:cs="Arial"/>
          <w:sz w:val="22"/>
          <w:szCs w:val="22"/>
        </w:rPr>
        <w:t xml:space="preserve">, S. L., Athanasopoulos, G., &amp; Hyndman, R. J. (2019). Optimal forecast reconciliation for hierarchical and grouped time series through trace minimization. </w:t>
      </w:r>
      <w:r w:rsidRPr="009B6BCB">
        <w:rPr>
          <w:rFonts w:ascii="Arial" w:hAnsi="Arial" w:cs="Arial"/>
          <w:i/>
          <w:iCs/>
          <w:sz w:val="22"/>
          <w:szCs w:val="22"/>
        </w:rPr>
        <w:t>Journal of the American Statistical Association, 114</w:t>
      </w:r>
      <w:r w:rsidRPr="009B6BCB">
        <w:rPr>
          <w:rFonts w:ascii="Arial" w:hAnsi="Arial" w:cs="Arial"/>
          <w:sz w:val="22"/>
          <w:szCs w:val="22"/>
        </w:rPr>
        <w:t>(526), 804–819.</w:t>
      </w:r>
    </w:p>
    <w:p w14:paraId="26F3CE9C" w14:textId="77777777" w:rsidR="00D30DE4" w:rsidRPr="009B6BCB" w:rsidRDefault="00D30DE4">
      <w:pPr>
        <w:rPr>
          <w:rFonts w:ascii="Arial" w:hAnsi="Arial" w:cs="Arial"/>
          <w:sz w:val="22"/>
          <w:szCs w:val="22"/>
          <w:lang w:val="es-ES"/>
        </w:rPr>
      </w:pPr>
    </w:p>
    <w:sectPr w:rsidR="00D30DE4" w:rsidRPr="009B6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B6882"/>
    <w:multiLevelType w:val="multilevel"/>
    <w:tmpl w:val="458E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5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74"/>
    <w:rsid w:val="00303E6E"/>
    <w:rsid w:val="003F0030"/>
    <w:rsid w:val="004005B6"/>
    <w:rsid w:val="004D55E7"/>
    <w:rsid w:val="0053318D"/>
    <w:rsid w:val="00591AE4"/>
    <w:rsid w:val="006F11C0"/>
    <w:rsid w:val="00832AA4"/>
    <w:rsid w:val="009B6BCB"/>
    <w:rsid w:val="00A67674"/>
    <w:rsid w:val="00C4302D"/>
    <w:rsid w:val="00CD2F39"/>
    <w:rsid w:val="00D30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9C17"/>
  <w15:chartTrackingRefBased/>
  <w15:docId w15:val="{28695AA8-5B6E-4775-A259-EC653455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6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76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767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767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7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7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7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767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767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767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7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7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674"/>
    <w:rPr>
      <w:rFonts w:eastAsiaTheme="majorEastAsia" w:cstheme="majorBidi"/>
      <w:color w:val="272727" w:themeColor="text1" w:themeTint="D8"/>
    </w:rPr>
  </w:style>
  <w:style w:type="paragraph" w:styleId="Title">
    <w:name w:val="Title"/>
    <w:basedOn w:val="Normal"/>
    <w:next w:val="Normal"/>
    <w:link w:val="TitleChar"/>
    <w:uiPriority w:val="10"/>
    <w:qFormat/>
    <w:rsid w:val="00A6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674"/>
    <w:pPr>
      <w:spacing w:before="160"/>
      <w:jc w:val="center"/>
    </w:pPr>
    <w:rPr>
      <w:i/>
      <w:iCs/>
      <w:color w:val="404040" w:themeColor="text1" w:themeTint="BF"/>
    </w:rPr>
  </w:style>
  <w:style w:type="character" w:customStyle="1" w:styleId="QuoteChar">
    <w:name w:val="Quote Char"/>
    <w:basedOn w:val="DefaultParagraphFont"/>
    <w:link w:val="Quote"/>
    <w:uiPriority w:val="29"/>
    <w:rsid w:val="00A67674"/>
    <w:rPr>
      <w:i/>
      <w:iCs/>
      <w:color w:val="404040" w:themeColor="text1" w:themeTint="BF"/>
    </w:rPr>
  </w:style>
  <w:style w:type="paragraph" w:styleId="ListParagraph">
    <w:name w:val="List Paragraph"/>
    <w:basedOn w:val="Normal"/>
    <w:uiPriority w:val="34"/>
    <w:qFormat/>
    <w:rsid w:val="00A67674"/>
    <w:pPr>
      <w:ind w:left="720"/>
      <w:contextualSpacing/>
    </w:pPr>
  </w:style>
  <w:style w:type="character" w:styleId="IntenseEmphasis">
    <w:name w:val="Intense Emphasis"/>
    <w:basedOn w:val="DefaultParagraphFont"/>
    <w:uiPriority w:val="21"/>
    <w:qFormat/>
    <w:rsid w:val="00A67674"/>
    <w:rPr>
      <w:i/>
      <w:iCs/>
      <w:color w:val="2E74B5" w:themeColor="accent1" w:themeShade="BF"/>
    </w:rPr>
  </w:style>
  <w:style w:type="paragraph" w:styleId="IntenseQuote">
    <w:name w:val="Intense Quote"/>
    <w:basedOn w:val="Normal"/>
    <w:next w:val="Normal"/>
    <w:link w:val="IntenseQuoteChar"/>
    <w:uiPriority w:val="30"/>
    <w:qFormat/>
    <w:rsid w:val="00A676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7674"/>
    <w:rPr>
      <w:i/>
      <w:iCs/>
      <w:color w:val="2E74B5" w:themeColor="accent1" w:themeShade="BF"/>
    </w:rPr>
  </w:style>
  <w:style w:type="character" w:styleId="IntenseReference">
    <w:name w:val="Intense Reference"/>
    <w:basedOn w:val="DefaultParagraphFont"/>
    <w:uiPriority w:val="32"/>
    <w:qFormat/>
    <w:rsid w:val="00A676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Titanio</dc:creator>
  <cp:keywords/>
  <dc:description/>
  <cp:lastModifiedBy>Titanio</cp:lastModifiedBy>
  <cp:revision>8</cp:revision>
  <cp:lastPrinted>2026-03-20T20:18:00Z</cp:lastPrinted>
  <dcterms:created xsi:type="dcterms:W3CDTF">2026-03-20T20:12:00Z</dcterms:created>
  <dcterms:modified xsi:type="dcterms:W3CDTF">2026-03-20T21:09:00Z</dcterms:modified>
</cp:coreProperties>
</file>