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BA1" w:rsidRDefault="00995C30">
      <w:pPr>
        <w:pStyle w:val="Title"/>
      </w:pPr>
      <w:r>
        <w:t>Healthcare insights report - Siva Prasad</w:t>
      </w:r>
      <w:bookmarkStart w:id="0" w:name="_GoBack"/>
      <w:bookmarkEnd w:id="0"/>
    </w:p>
    <w:p w:rsidR="00F02BA1" w:rsidRDefault="00995C30">
      <w:pPr>
        <w:pStyle w:val="Heading1"/>
      </w:pPr>
      <w:r>
        <w:t>Section 1: Executive summary</w:t>
      </w:r>
    </w:p>
    <w:p w:rsidR="00F02BA1" w:rsidRDefault="00995C30">
      <w:r>
        <w:t xml:space="preserve">This report presents the financial </w:t>
      </w:r>
      <w:r>
        <w:t>and operational ROI from a six-phase AI analytics initiative conducted on 25,000 hospital visits (January 2025–January 2026). By deploying two production-ready AI models into our live systems, we have created a mechanism to directly intercept insurance rev</w:t>
      </w:r>
      <w:r>
        <w:t>enue leakage and optimize expensive ICU and specialist bed utilization. The projected financial impact includes recovering ₹4–7 crore annually in denied claims and significantly reducing operational bottleneck costs.</w:t>
      </w:r>
    </w:p>
    <w:p w:rsidR="00F02BA1" w:rsidRDefault="00995C30">
      <w:pPr>
        <w:pStyle w:val="Heading1"/>
      </w:pPr>
      <w:r>
        <w:t>Section 2: Key operational findings and</w:t>
      </w:r>
      <w:r>
        <w:t xml:space="preserve"> cost impacts</w:t>
      </w:r>
    </w:p>
    <w:p w:rsidR="00F02BA1" w:rsidRDefault="00995C30">
      <w:r>
        <w:rPr>
          <w:b/>
        </w:rPr>
        <w:t xml:space="preserve">High risk concentration in ICU and ER: </w:t>
      </w:r>
      <w:r>
        <w:t>The ICU carries 20.79% of high-risk visits, with the ER at 20.66%. Misallocating nursing staff in these areas drives up costly overtime and premium agency labor.</w:t>
      </w:r>
      <w:r>
        <w:br/>
      </w:r>
      <w:r>
        <w:rPr>
          <w:b/>
        </w:rPr>
        <w:t>Neurology drives the highest average leng</w:t>
      </w:r>
      <w:r>
        <w:rPr>
          <w:b/>
        </w:rPr>
        <w:t xml:space="preserve">th of stay: </w:t>
      </w:r>
      <w:r>
        <w:t>Averaging 19.72 hours per visit, delayed discharges in neurology and orthopedics directly block new admissions, representing lost daily revenue per available bed.</w:t>
      </w:r>
      <w:r>
        <w:br/>
      </w:r>
      <w:r>
        <w:rPr>
          <w:b/>
        </w:rPr>
        <w:t xml:space="preserve">Chronic patients represent 50.3% of all visits: </w:t>
      </w:r>
      <w:r>
        <w:t>This cohort drives disproportiona</w:t>
      </w:r>
      <w:r>
        <w:t>tely longer stays and higher resource consumption, increasing the cost of care per patient.</w:t>
      </w:r>
      <w:r>
        <w:br/>
      </w:r>
      <w:r>
        <w:rPr>
          <w:b/>
        </w:rPr>
        <w:t xml:space="preserve">Visit volume is balanced but cyclical: </w:t>
      </w:r>
      <w:r>
        <w:t>Static staffing models are leading to unnecessary labor costs during low-demand periods and expensive bottlenecking during su</w:t>
      </w:r>
      <w:r>
        <w:t>rges.</w:t>
      </w:r>
      <w:r>
        <w:br/>
      </w:r>
      <w:r>
        <w:rPr>
          <w:b/>
        </w:rPr>
        <w:t xml:space="preserve">Geographic profit centers: </w:t>
      </w:r>
      <w:r>
        <w:t>Bangalore leads on average billed amount (₹21,044 per visit), representing a highly profitable patient demographic that should be aggressively targeted for market share expansion.</w:t>
      </w:r>
    </w:p>
    <w:p w:rsidR="00F02BA1" w:rsidRDefault="00995C30">
      <w:pPr>
        <w:pStyle w:val="Heading1"/>
      </w:pPr>
      <w:r>
        <w:t>Section 3: Key financial findings and reven</w:t>
      </w:r>
      <w:r>
        <w:t>ue leakage</w:t>
      </w:r>
    </w:p>
    <w:p w:rsidR="00F02BA1" w:rsidRDefault="00995C30">
      <w:r>
        <w:rPr>
          <w:b/>
        </w:rPr>
        <w:t xml:space="preserve">Total revenue exposure is ₹521.7 million: </w:t>
      </w:r>
      <w:r>
        <w:t>MediCareX represents our largest payer risk at ₹134.6 million, followed by CareOne and HealthPlus.</w:t>
      </w:r>
      <w:r>
        <w:br/>
      </w:r>
      <w:r>
        <w:rPr>
          <w:b/>
        </w:rPr>
        <w:t xml:space="preserve">Rejection rates average 15.2% across all providers: </w:t>
      </w:r>
      <w:r>
        <w:t>This rate exposes approximately ₹78 million in annua</w:t>
      </w:r>
      <w:r>
        <w:t>l claims to denial or costly administrative resubmission cycles. SecureLife is our highest-risk payer at a 15.69% rejection rate.</w:t>
      </w:r>
      <w:r>
        <w:br/>
      </w:r>
      <w:r>
        <w:rPr>
          <w:b/>
        </w:rPr>
        <w:t xml:space="preserve">Revenue realization is lowest in orthopedics and cardiology: </w:t>
      </w:r>
      <w:r>
        <w:t>The approved-to-billed ratio sits at just 77% in these high-margi</w:t>
      </w:r>
      <w:r>
        <w:t>n surgical departments, indicating severe down-coding and partial payer approvals that are destroying our surgical profit margins.</w:t>
      </w:r>
      <w:r>
        <w:br/>
      </w:r>
      <w:r>
        <w:rPr>
          <w:b/>
        </w:rPr>
        <w:t xml:space="preserve">190 high-value claims are at immediate risk of leakage: </w:t>
      </w:r>
      <w:r>
        <w:t>We identified 190 top-decile visits (billed over ₹37,545) with missin</w:t>
      </w:r>
      <w:r>
        <w:t>g or zero approved amounts. These represent immediate, direct cash-flow recovery targets.</w:t>
      </w:r>
      <w:r>
        <w:br/>
      </w:r>
      <w:r>
        <w:rPr>
          <w:b/>
        </w:rPr>
        <w:t xml:space="preserve">Payment cycle averages 13 days but shows risk tails: </w:t>
      </w:r>
      <w:r>
        <w:t>509 visits exceeded 30 days of payment delay, tying up working capital and increasing the cost of collections.</w:t>
      </w:r>
    </w:p>
    <w:p w:rsidR="00F02BA1" w:rsidRDefault="00995C30">
      <w:pPr>
        <w:pStyle w:val="Heading1"/>
      </w:pPr>
      <w:r>
        <w:lastRenderedPageBreak/>
        <w:t>Se</w:t>
      </w:r>
      <w:r>
        <w:t>ction 4: AI model financial impact</w:t>
      </w:r>
    </w:p>
    <w:p w:rsidR="00F02BA1" w:rsidRDefault="00995C30">
      <w:pPr>
        <w:pStyle w:val="Heading2"/>
      </w:pPr>
      <w:r>
        <w:t>Model A: Visit risk classifier (Clinical operations)</w:t>
      </w:r>
    </w:p>
    <w:p w:rsidR="00F02BA1" w:rsidRDefault="00995C30">
      <w:r>
        <w:rPr>
          <w:b/>
        </w:rPr>
        <w:t xml:space="preserve">Purpose: </w:t>
      </w:r>
      <w:r>
        <w:t>Predicts high, medium, or low clinical risk at registration.</w:t>
      </w:r>
      <w:r>
        <w:br/>
      </w:r>
      <w:r>
        <w:rPr>
          <w:b/>
        </w:rPr>
        <w:t xml:space="preserve">Financial impact: </w:t>
      </w:r>
      <w:r>
        <w:t>Reduces expensive emergency escalations and minimizes premium overtime pay by ac</w:t>
      </w:r>
      <w:r>
        <w:t>curately forecasting nurse-to-patient ratios before the patient reaches the floor.</w:t>
      </w:r>
    </w:p>
    <w:p w:rsidR="00F02BA1" w:rsidRDefault="00995C30">
      <w:pPr>
        <w:pStyle w:val="Heading2"/>
      </w:pPr>
      <w:r>
        <w:t>Model B: Claim outcome classifier (Revenue cycle management)</w:t>
      </w:r>
    </w:p>
    <w:p w:rsidR="00F02BA1" w:rsidRDefault="00995C30">
      <w:r>
        <w:rPr>
          <w:b/>
        </w:rPr>
        <w:t xml:space="preserve">Purpose: </w:t>
      </w:r>
      <w:r>
        <w:t>Predicts paid, pending, or rejected status prior to claim submission.</w:t>
      </w:r>
      <w:r>
        <w:br/>
      </w:r>
      <w:r>
        <w:rPr>
          <w:b/>
        </w:rPr>
        <w:t xml:space="preserve">Financial impact: </w:t>
      </w:r>
      <w:r>
        <w:t>Acts as an auto</w:t>
      </w:r>
      <w:r>
        <w:t>mated financial firewall. By routing high-probability rejections to a human coder before submission, we bypass the payer's denial process. Intercepting just 40% of our current 15.2% rejection pool translates to an immediate ₹4–6 crore in retained annual re</w:t>
      </w:r>
      <w:r>
        <w:t>venue.</w:t>
      </w:r>
    </w:p>
    <w:p w:rsidR="00F02BA1" w:rsidRDefault="00995C30">
      <w:pPr>
        <w:pStyle w:val="Heading2"/>
      </w:pPr>
      <w:r>
        <w:t>Fairness and compliance audit</w:t>
      </w:r>
    </w:p>
    <w:p w:rsidR="00F02BA1" w:rsidRDefault="00995C30">
      <w:r>
        <w:t>Protects the hospital from regulatory fines and reputational damage by ensuring predictions are mathematically unbiased across gender, region, and payer. All system decisions are backed by tamper-evident SHA-256 audit l</w:t>
      </w:r>
      <w:r>
        <w:t>ogs.</w:t>
      </w:r>
    </w:p>
    <w:p w:rsidR="00F02BA1" w:rsidRDefault="00995C30">
      <w:pPr>
        <w:pStyle w:val="Heading1"/>
      </w:pPr>
      <w:r>
        <w:t>Section 5: System architecture overview</w:t>
      </w:r>
    </w:p>
    <w:p w:rsidR="00F02BA1" w:rsidRDefault="00995C30">
      <w:r>
        <w:t>The solution operates on a six-phase pipeline: SQL analytics for KPI generation, data engineering for quality control, machine learning for predictive modeling (Random Forest with class balancing), explainabilit</w:t>
      </w:r>
      <w:r>
        <w:t>y audits for governance, FastAPI deployment for live EMR integration, and automated drift monitoring to ensure long-term model accuracy.</w:t>
      </w:r>
    </w:p>
    <w:p w:rsidR="00F02BA1" w:rsidRDefault="00995C30">
      <w:pPr>
        <w:pStyle w:val="Heading1"/>
      </w:pPr>
      <w:r>
        <w:t>Section 6: Executive business recommendations</w:t>
      </w:r>
    </w:p>
    <w:p w:rsidR="00F02BA1" w:rsidRDefault="00995C30">
      <w:r>
        <w:rPr>
          <w:b/>
        </w:rPr>
        <w:t xml:space="preserve">Deploy an automated claim interception workflow (High ROI): </w:t>
      </w:r>
      <w:r>
        <w:t>Do not let fl</w:t>
      </w:r>
      <w:r>
        <w:t>agged claims go to the payer. Route them to a specialized billing coder. Funding two dedicated coders to review these flagged claims yields a massive ROI given the ₹4–6 crore recovery potential.</w:t>
      </w:r>
      <w:r>
        <w:br/>
      </w:r>
      <w:r>
        <w:br/>
      </w:r>
      <w:r>
        <w:rPr>
          <w:b/>
        </w:rPr>
        <w:t xml:space="preserve">Audit the 190 zero-approval high-value claims immediately: </w:t>
      </w:r>
      <w:r>
        <w:t>A</w:t>
      </w:r>
      <w:r>
        <w:t>ssign the finance team to audit these specific claims today. Recovering even half of these top-decile bills represents an instant cash injection for the current quarter.</w:t>
      </w:r>
      <w:r>
        <w:br/>
      </w:r>
      <w:r>
        <w:br/>
      </w:r>
      <w:r>
        <w:rPr>
          <w:b/>
        </w:rPr>
        <w:t xml:space="preserve">Integrate API with EMR for proactive capacity planning: </w:t>
      </w:r>
      <w:r>
        <w:t>Connect the clinical risk mod</w:t>
      </w:r>
      <w:r>
        <w:t>el to the live EMR to optimize daily bed planning. Reducing average length of stay by just 5% across our 25,000 visits unlocks hundreds of new admission slots per year, driving pure top-line growth.</w:t>
      </w:r>
      <w:r>
        <w:br/>
      </w:r>
      <w:r>
        <w:br/>
      </w:r>
      <w:r>
        <w:rPr>
          <w:b/>
        </w:rPr>
        <w:t xml:space="preserve">Renegotiate payer contracts using model insights: </w:t>
      </w:r>
      <w:r>
        <w:t>Levera</w:t>
      </w:r>
      <w:r>
        <w:t xml:space="preserve">ge the model's feature </w:t>
      </w:r>
      <w:r>
        <w:lastRenderedPageBreak/>
        <w:t>importance data—specifically targeting SecureLife's 15.69% rejection rate and orthopedic down-coding patterns—during next year's rate negotiations to demand transparent approval criteria.</w:t>
      </w:r>
      <w:r>
        <w:br/>
      </w:r>
      <w:r>
        <w:br/>
      </w:r>
      <w:r>
        <w:rPr>
          <w:b/>
        </w:rPr>
        <w:t xml:space="preserve">Fund ongoing drift monitoring: </w:t>
      </w:r>
      <w:r>
        <w:t>Authorize the</w:t>
      </w:r>
      <w:r>
        <w:t xml:space="preserve"> data science team to maintain the phase 6 automated monitoring scripts to ensure these financial firewalls do not degrade as payer algorithms change over time.</w:t>
      </w:r>
    </w:p>
    <w:p w:rsidR="00F02BA1" w:rsidRDefault="00995C30">
      <w:pPr>
        <w:pStyle w:val="Heading1"/>
      </w:pPr>
      <w:r>
        <w:t>Section 7: Conclusion</w:t>
      </w:r>
    </w:p>
    <w:p w:rsidR="00F02BA1" w:rsidRDefault="00995C30">
      <w:r>
        <w:t xml:space="preserve">This AI initiative transitions our hospital from reactive administration </w:t>
      </w:r>
      <w:r>
        <w:t>to proactive margin protection. By approving the deployment of these two models into our live clinical and billing workflows, leadership can secure ₹4–7 crore in otherwise lost revenue while simultaneously improving patient throughput efficiency and reduci</w:t>
      </w:r>
      <w:r>
        <w:t>ng labor bottleneck costs.</w:t>
      </w:r>
    </w:p>
    <w:sectPr w:rsidR="00F02B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5C30"/>
    <w:rsid w:val="00AA1D8D"/>
    <w:rsid w:val="00B47730"/>
    <w:rsid w:val="00CB0664"/>
    <w:rsid w:val="00F02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4D2C3E-08D6-470E-9667-03EF680AA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2026-02-23T12:30:00Z</dcterms:modified>
  <cp:category/>
</cp:coreProperties>
</file>