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C318E" w14:textId="19EF90D4" w:rsidR="004A3290" w:rsidRPr="004A3290" w:rsidRDefault="004A3290" w:rsidP="004A3290">
      <w:pPr>
        <w:rPr>
          <w:rFonts w:ascii="Times New Roman" w:hAnsi="Times New Roman" w:cs="Times New Roman"/>
          <w:b/>
          <w:bCs/>
          <w:sz w:val="26"/>
          <w:szCs w:val="26"/>
        </w:rPr>
      </w:pPr>
      <w:r>
        <w:rPr>
          <w:rFonts w:ascii="Times New Roman" w:hAnsi="Times New Roman" w:cs="Times New Roman"/>
          <w:b/>
          <w:bCs/>
          <w:sz w:val="26"/>
          <w:szCs w:val="26"/>
        </w:rPr>
        <w:t>EDA</w:t>
      </w:r>
    </w:p>
    <w:p w14:paraId="517113D3" w14:textId="03A53558"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1. Life Expectancy</w:t>
      </w:r>
    </w:p>
    <w:p w14:paraId="7A126389"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69.22 years</w:t>
      </w:r>
    </w:p>
    <w:p w14:paraId="2E816F77"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36.3 to 89 years</w:t>
      </w:r>
    </w:p>
    <w:p w14:paraId="369DE2E6"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 life expectancy shows a fairly broad distribution. The lower quartile (25%) is 63.1 years, the median (50%) is 72.1 years, and the upper quartile (75%) is 75.7 years. There’s a substantial difference between the minimum (36.3) and maximum (89), indicating significant global variation.</w:t>
      </w:r>
    </w:p>
    <w:p w14:paraId="62167402"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2. Adult Mortality</w:t>
      </w:r>
    </w:p>
    <w:p w14:paraId="126D647E"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164.8 per 1000 adults</w:t>
      </w:r>
    </w:p>
    <w:p w14:paraId="09B5019B"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1 to 723 per 1000 adults</w:t>
      </w:r>
    </w:p>
    <w:p w14:paraId="000B43E5"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 adult mortality rate has a high level of variability. The median value is 144, but the presence of extreme values (max of 723) indicates that some countries experience much higher mortality rates.</w:t>
      </w:r>
    </w:p>
    <w:p w14:paraId="4B385E97"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3. Infant Deaths</w:t>
      </w:r>
    </w:p>
    <w:p w14:paraId="4C919BC0"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30.3 per 1000 live births</w:t>
      </w:r>
    </w:p>
    <w:p w14:paraId="0910F483"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 to 1800 per 1000 live births</w:t>
      </w:r>
    </w:p>
    <w:p w14:paraId="6A80FE4F"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There is a stark contrast between the minimum value (0) and the maximum value (1800), suggesting that in some regions, infant mortality is a major public health issue, while in others, it is almost negligible.</w:t>
      </w:r>
    </w:p>
    <w:p w14:paraId="71A909CB"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4. Alcohol Consumption</w:t>
      </w:r>
    </w:p>
    <w:p w14:paraId="7CE99C91"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4.6 liters per capita</w:t>
      </w:r>
    </w:p>
    <w:p w14:paraId="29284F34"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0.01 to 17.87 liters per capita</w:t>
      </w:r>
    </w:p>
    <w:p w14:paraId="0A73405B"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 xml:space="preserve">Distribution: Alcohol consumption shows a fairly broad spread, with a median of 3.76 liters. Some countries have very low alcohol consumption, while others report much higher levels, with a </w:t>
      </w:r>
      <w:proofErr w:type="gramStart"/>
      <w:r w:rsidRPr="004A3290">
        <w:rPr>
          <w:rFonts w:ascii="Times New Roman" w:hAnsi="Times New Roman" w:cs="Times New Roman"/>
          <w:sz w:val="26"/>
          <w:szCs w:val="26"/>
        </w:rPr>
        <w:t>max</w:t>
      </w:r>
      <w:proofErr w:type="gramEnd"/>
      <w:r w:rsidRPr="004A3290">
        <w:rPr>
          <w:rFonts w:ascii="Times New Roman" w:hAnsi="Times New Roman" w:cs="Times New Roman"/>
          <w:sz w:val="26"/>
          <w:szCs w:val="26"/>
        </w:rPr>
        <w:t xml:space="preserve"> of 17.87 liters.</w:t>
      </w:r>
    </w:p>
    <w:p w14:paraId="02789AF6"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5. Percentage of Expenditure on Health</w:t>
      </w:r>
    </w:p>
    <w:p w14:paraId="67DD6FCF"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lastRenderedPageBreak/>
        <w:t>Mean: 738.25 (currency unspecified)</w:t>
      </w:r>
    </w:p>
    <w:p w14:paraId="35174AFE"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 to 19,479.91</w:t>
      </w:r>
    </w:p>
    <w:p w14:paraId="59A4C73E"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There is a high degree of variability in health expenditure, from very low amounts in certain countries to extremely high spending in others. The median is significantly lower (around 64.91), suggesting that most countries spend less on health than the highest-spending nations.</w:t>
      </w:r>
    </w:p>
    <w:p w14:paraId="217C6E9E"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6. Hepatitis B Immunization Rate</w:t>
      </w:r>
    </w:p>
    <w:p w14:paraId="3DAC55C0"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80.94%</w:t>
      </w:r>
    </w:p>
    <w:p w14:paraId="176282FD"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1% to 99%</w:t>
      </w:r>
    </w:p>
    <w:p w14:paraId="3947EE64"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 median immunization rate is 92%, with most countries reporting high vaccination coverage (especially in the 75th percentile at 97%). However, a few countries have much lower vaccination rates.</w:t>
      </w:r>
    </w:p>
    <w:p w14:paraId="17913AF0"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7. Measles Incidence</w:t>
      </w:r>
    </w:p>
    <w:p w14:paraId="398EBD0A"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2419.59 cases per 100,000 population</w:t>
      </w:r>
    </w:p>
    <w:p w14:paraId="33F6F6C9"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 to 212,183 cases per 100,000 population</w:t>
      </w:r>
    </w:p>
    <w:p w14:paraId="246641CE"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Measles incidence is highly variable, with a very large spread (max value of 212,183), indicating that some countries experience high rates of measles outbreaks, while others have almost no cases. The median number of measles cases is 17, suggesting a significant global disparity.</w:t>
      </w:r>
    </w:p>
    <w:p w14:paraId="01F74BF0"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8. Body Mass Index (BMI)</w:t>
      </w:r>
    </w:p>
    <w:p w14:paraId="0728F056"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38.32</w:t>
      </w:r>
    </w:p>
    <w:p w14:paraId="4898C4EC"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1 to 87.3</w:t>
      </w:r>
    </w:p>
    <w:p w14:paraId="27C76C9D"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 xml:space="preserve">Distribution: There is a significant range in BMI, which reflects the global prevalence of obesity and underweight conditions. The median BMI is 43.5, indicating that, on average, individuals in this dataset have a relatively high BMI, but the spread includes both </w:t>
      </w:r>
      <w:proofErr w:type="gramStart"/>
      <w:r w:rsidRPr="004A3290">
        <w:rPr>
          <w:rFonts w:ascii="Times New Roman" w:hAnsi="Times New Roman" w:cs="Times New Roman"/>
          <w:sz w:val="26"/>
          <w:szCs w:val="26"/>
        </w:rPr>
        <w:t>extreme</w:t>
      </w:r>
      <w:proofErr w:type="gramEnd"/>
      <w:r w:rsidRPr="004A3290">
        <w:rPr>
          <w:rFonts w:ascii="Times New Roman" w:hAnsi="Times New Roman" w:cs="Times New Roman"/>
          <w:sz w:val="26"/>
          <w:szCs w:val="26"/>
        </w:rPr>
        <w:t xml:space="preserve"> underweight and overweight populations.</w:t>
      </w:r>
    </w:p>
    <w:p w14:paraId="289E9A41"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9. Under-Five Deaths</w:t>
      </w:r>
    </w:p>
    <w:p w14:paraId="67907392"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42.04 per 1000 children under five</w:t>
      </w:r>
    </w:p>
    <w:p w14:paraId="2BAE9E94"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lastRenderedPageBreak/>
        <w:t>Range: From 0 to 2500 per 1000 children under five</w:t>
      </w:r>
    </w:p>
    <w:p w14:paraId="650654E0"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 large range in under-five deaths indicates a significant global disparity in child mortality. Some countries have very low child mortality, while others face extremely high rates.</w:t>
      </w:r>
    </w:p>
    <w:p w14:paraId="3EF30FA9"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10. Polio Immunization</w:t>
      </w:r>
    </w:p>
    <w:p w14:paraId="0DAC8AA8"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82.55%</w:t>
      </w:r>
    </w:p>
    <w:p w14:paraId="2F5014B7"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3% to 99%</w:t>
      </w:r>
    </w:p>
    <w:p w14:paraId="2E378779"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Similar to Hepatitis B immunization, the spread is fairly narrow, with most countries achieving high vaccination rates. The median is 93%, indicating strong global immunization coverage.</w:t>
      </w:r>
    </w:p>
    <w:p w14:paraId="23550261"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11. Total Expenditure on Health</w:t>
      </w:r>
    </w:p>
    <w:p w14:paraId="0F48F96A"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5.94% of GDP</w:t>
      </w:r>
    </w:p>
    <w:p w14:paraId="7D95177E"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0.37% to 17.6% of GDP</w:t>
      </w:r>
    </w:p>
    <w:p w14:paraId="5BB3419F"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 variability in total health expenditure is also evident here, with most countries spending between 4-7% of their GDP on health, but some nations with much higher expenditure.</w:t>
      </w:r>
    </w:p>
    <w:p w14:paraId="06E94C8D"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12. GDP</w:t>
      </w:r>
    </w:p>
    <w:p w14:paraId="3F2A8441"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7483.16 billion USD</w:t>
      </w:r>
    </w:p>
    <w:p w14:paraId="5D2092F2"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1.68 to 119,172.74 billion USD</w:t>
      </w:r>
    </w:p>
    <w:p w14:paraId="45B225E1"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GDP varies widely across the countries in this dataset. The median GDP is approximately 1767 billion USD, but a few countries with extremely high GDPs (e.g., the US, China, etc.) pull up the mean.</w:t>
      </w:r>
    </w:p>
    <w:p w14:paraId="5E640C04"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13. Population</w:t>
      </w:r>
    </w:p>
    <w:p w14:paraId="3F2DE925"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12.75 million</w:t>
      </w:r>
    </w:p>
    <w:p w14:paraId="5F55F54D"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34,000 to over 1.2 billion</w:t>
      </w:r>
    </w:p>
    <w:p w14:paraId="7FB06209"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 population range also varies greatly, reflecting the diversity of countries included in the dataset, with a global median population of around 1.39 million.</w:t>
      </w:r>
    </w:p>
    <w:p w14:paraId="2CADF605"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lastRenderedPageBreak/>
        <w:t>14. HIV/AIDS</w:t>
      </w:r>
    </w:p>
    <w:p w14:paraId="28C3F64F"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1.74%</w:t>
      </w:r>
    </w:p>
    <w:p w14:paraId="00CCFC09"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0.1% to 50.6%</w:t>
      </w:r>
    </w:p>
    <w:p w14:paraId="52ED95BF"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There’s significant variability in HIV/AIDS prevalence, with some countries experiencing very low rates of infection, while others (primarily sub-Saharan African nations) report very high prevalence rates.</w:t>
      </w:r>
    </w:p>
    <w:p w14:paraId="7F96AE3B"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15. Schooling</w:t>
      </w:r>
    </w:p>
    <w:p w14:paraId="52A6FDAD"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11.99 years</w:t>
      </w:r>
    </w:p>
    <w:p w14:paraId="6B5EB395"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 to 20.7 years</w:t>
      </w:r>
    </w:p>
    <w:p w14:paraId="2B1C3DE3"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 xml:space="preserve">Distribution: The median </w:t>
      </w:r>
      <w:proofErr w:type="gramStart"/>
      <w:r w:rsidRPr="004A3290">
        <w:rPr>
          <w:rFonts w:ascii="Times New Roman" w:hAnsi="Times New Roman" w:cs="Times New Roman"/>
          <w:sz w:val="26"/>
          <w:szCs w:val="26"/>
        </w:rPr>
        <w:t>years</w:t>
      </w:r>
      <w:proofErr w:type="gramEnd"/>
      <w:r w:rsidRPr="004A3290">
        <w:rPr>
          <w:rFonts w:ascii="Times New Roman" w:hAnsi="Times New Roman" w:cs="Times New Roman"/>
          <w:sz w:val="26"/>
          <w:szCs w:val="26"/>
        </w:rPr>
        <w:t xml:space="preserve"> of schooling </w:t>
      </w:r>
      <w:proofErr w:type="gramStart"/>
      <w:r w:rsidRPr="004A3290">
        <w:rPr>
          <w:rFonts w:ascii="Times New Roman" w:hAnsi="Times New Roman" w:cs="Times New Roman"/>
          <w:sz w:val="26"/>
          <w:szCs w:val="26"/>
        </w:rPr>
        <w:t>is</w:t>
      </w:r>
      <w:proofErr w:type="gramEnd"/>
      <w:r w:rsidRPr="004A3290">
        <w:rPr>
          <w:rFonts w:ascii="Times New Roman" w:hAnsi="Times New Roman" w:cs="Times New Roman"/>
          <w:sz w:val="26"/>
          <w:szCs w:val="26"/>
        </w:rPr>
        <w:t xml:space="preserve"> 12.3, indicating that many countries have achieved relatively high educational levels, though some still report very low educational attainment.</w:t>
      </w:r>
    </w:p>
    <w:p w14:paraId="757EF086"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16. Income Composition of Resources</w:t>
      </w:r>
    </w:p>
    <w:p w14:paraId="21DE3453"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Mean: 0.63</w:t>
      </w:r>
    </w:p>
    <w:p w14:paraId="648A2081" w14:textId="77777777" w:rsidR="004A3290" w:rsidRPr="004A3290"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Range: From 0 to 0.95</w:t>
      </w:r>
    </w:p>
    <w:p w14:paraId="6839B2FD" w14:textId="220DD23A" w:rsidR="00781B7D" w:rsidRDefault="004A3290" w:rsidP="004A3290">
      <w:pPr>
        <w:rPr>
          <w:rFonts w:ascii="Times New Roman" w:hAnsi="Times New Roman" w:cs="Times New Roman"/>
          <w:sz w:val="26"/>
          <w:szCs w:val="26"/>
        </w:rPr>
      </w:pPr>
      <w:r w:rsidRPr="004A3290">
        <w:rPr>
          <w:rFonts w:ascii="Times New Roman" w:hAnsi="Times New Roman" w:cs="Times New Roman"/>
          <w:sz w:val="26"/>
          <w:szCs w:val="26"/>
        </w:rPr>
        <w:t>Distribution: This metric likely measures the quality of income distribution. The majority of countries are near or above the median of 0.68, reflecting moderate to good income equality in many regions.</w:t>
      </w:r>
    </w:p>
    <w:p w14:paraId="3F14D4B9" w14:textId="77777777" w:rsidR="004A3290" w:rsidRDefault="004A3290" w:rsidP="004A3290">
      <w:pPr>
        <w:rPr>
          <w:rFonts w:ascii="Times New Roman" w:hAnsi="Times New Roman" w:cs="Times New Roman"/>
          <w:sz w:val="26"/>
          <w:szCs w:val="26"/>
        </w:rPr>
      </w:pPr>
    </w:p>
    <w:p w14:paraId="0F0CE09C" w14:textId="77777777" w:rsidR="004A3290" w:rsidRDefault="004A3290" w:rsidP="004A3290">
      <w:pPr>
        <w:rPr>
          <w:rFonts w:ascii="Times New Roman" w:hAnsi="Times New Roman" w:cs="Times New Roman"/>
          <w:sz w:val="26"/>
          <w:szCs w:val="26"/>
        </w:rPr>
      </w:pPr>
    </w:p>
    <w:p w14:paraId="43D2B0CA" w14:textId="77777777" w:rsidR="004A3290" w:rsidRDefault="004A3290" w:rsidP="004A3290">
      <w:pPr>
        <w:rPr>
          <w:rFonts w:ascii="Times New Roman" w:hAnsi="Times New Roman" w:cs="Times New Roman"/>
          <w:sz w:val="26"/>
          <w:szCs w:val="26"/>
        </w:rPr>
      </w:pPr>
    </w:p>
    <w:p w14:paraId="7B23617B" w14:textId="77777777" w:rsidR="004A3290" w:rsidRDefault="004A3290" w:rsidP="004A3290">
      <w:pPr>
        <w:rPr>
          <w:rFonts w:ascii="Times New Roman" w:hAnsi="Times New Roman" w:cs="Times New Roman"/>
          <w:sz w:val="26"/>
          <w:szCs w:val="26"/>
        </w:rPr>
      </w:pPr>
    </w:p>
    <w:p w14:paraId="4C7A3367" w14:textId="77777777" w:rsidR="004A3290" w:rsidRDefault="004A3290" w:rsidP="004A3290">
      <w:pPr>
        <w:rPr>
          <w:rFonts w:ascii="Times New Roman" w:hAnsi="Times New Roman" w:cs="Times New Roman"/>
          <w:sz w:val="26"/>
          <w:szCs w:val="26"/>
        </w:rPr>
      </w:pPr>
    </w:p>
    <w:p w14:paraId="75E0BBC3" w14:textId="77777777" w:rsidR="004A3290" w:rsidRDefault="004A3290" w:rsidP="004A3290">
      <w:pPr>
        <w:rPr>
          <w:rFonts w:ascii="Times New Roman" w:hAnsi="Times New Roman" w:cs="Times New Roman"/>
          <w:sz w:val="26"/>
          <w:szCs w:val="26"/>
        </w:rPr>
      </w:pPr>
    </w:p>
    <w:p w14:paraId="36AB4A5E" w14:textId="77777777" w:rsidR="004A3290" w:rsidRDefault="004A3290" w:rsidP="004A3290">
      <w:pPr>
        <w:rPr>
          <w:rFonts w:ascii="Times New Roman" w:hAnsi="Times New Roman" w:cs="Times New Roman"/>
          <w:sz w:val="26"/>
          <w:szCs w:val="26"/>
        </w:rPr>
      </w:pPr>
    </w:p>
    <w:p w14:paraId="09D15CE4" w14:textId="77777777" w:rsidR="004A3290" w:rsidRDefault="004A3290" w:rsidP="004A3290">
      <w:pPr>
        <w:rPr>
          <w:rFonts w:ascii="Times New Roman" w:hAnsi="Times New Roman" w:cs="Times New Roman"/>
          <w:sz w:val="26"/>
          <w:szCs w:val="26"/>
        </w:rPr>
      </w:pPr>
    </w:p>
    <w:p w14:paraId="5988CDB5" w14:textId="08C0A9FB" w:rsidR="004A3290" w:rsidRDefault="004A3290" w:rsidP="004A3290">
      <w:pPr>
        <w:jc w:val="center"/>
        <w:rPr>
          <w:rFonts w:ascii="Times New Roman" w:hAnsi="Times New Roman" w:cs="Times New Roman"/>
          <w:sz w:val="26"/>
          <w:szCs w:val="26"/>
        </w:rPr>
      </w:pPr>
      <w:r>
        <w:rPr>
          <w:noProof/>
        </w:rPr>
        <w:lastRenderedPageBreak/>
        <w:drawing>
          <wp:inline distT="0" distB="0" distL="0" distR="0" wp14:anchorId="3E77E266" wp14:editId="50D84750">
            <wp:extent cx="4920343" cy="3163003"/>
            <wp:effectExtent l="0" t="0" r="0" b="0"/>
            <wp:docPr id="2037669372" name="Picture 1" descr="A graph of life expecta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69372" name="Picture 1" descr="A graph of life expectanc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070" cy="3168613"/>
                    </a:xfrm>
                    <a:prstGeom prst="rect">
                      <a:avLst/>
                    </a:prstGeom>
                    <a:noFill/>
                    <a:ln>
                      <a:noFill/>
                    </a:ln>
                  </pic:spPr>
                </pic:pic>
              </a:graphicData>
            </a:graphic>
          </wp:inline>
        </w:drawing>
      </w:r>
      <w:r>
        <w:rPr>
          <w:noProof/>
        </w:rPr>
        <w:drawing>
          <wp:inline distT="0" distB="0" distL="0" distR="0" wp14:anchorId="3F78CA23" wp14:editId="37756C9E">
            <wp:extent cx="4255360" cy="2993390"/>
            <wp:effectExtent l="0" t="0" r="0" b="0"/>
            <wp:docPr id="904663229" name="Picture 2" descr="A diagram of a life expectancy by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63229" name="Picture 2" descr="A diagram of a life expectancy by statu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597" cy="3011143"/>
                    </a:xfrm>
                    <a:prstGeom prst="rect">
                      <a:avLst/>
                    </a:prstGeom>
                    <a:noFill/>
                    <a:ln>
                      <a:noFill/>
                    </a:ln>
                  </pic:spPr>
                </pic:pic>
              </a:graphicData>
            </a:graphic>
          </wp:inline>
        </w:drawing>
      </w:r>
    </w:p>
    <w:p w14:paraId="668FA6B4" w14:textId="77777777" w:rsidR="004A3290" w:rsidRDefault="004A3290" w:rsidP="004A3290">
      <w:pPr>
        <w:jc w:val="center"/>
        <w:rPr>
          <w:rFonts w:ascii="Times New Roman" w:hAnsi="Times New Roman" w:cs="Times New Roman"/>
          <w:sz w:val="26"/>
          <w:szCs w:val="26"/>
        </w:rPr>
      </w:pPr>
    </w:p>
    <w:p w14:paraId="5419395C" w14:textId="77777777" w:rsidR="004A3290" w:rsidRDefault="004A3290" w:rsidP="004A3290">
      <w:pPr>
        <w:jc w:val="center"/>
        <w:rPr>
          <w:rFonts w:ascii="Times New Roman" w:hAnsi="Times New Roman" w:cs="Times New Roman"/>
          <w:sz w:val="26"/>
          <w:szCs w:val="26"/>
        </w:rPr>
      </w:pPr>
    </w:p>
    <w:p w14:paraId="14D05FEA" w14:textId="77777777" w:rsidR="004A3290" w:rsidRDefault="004A3290" w:rsidP="004A3290">
      <w:pPr>
        <w:jc w:val="center"/>
        <w:rPr>
          <w:rFonts w:ascii="Times New Roman" w:hAnsi="Times New Roman" w:cs="Times New Roman"/>
          <w:sz w:val="26"/>
          <w:szCs w:val="26"/>
        </w:rPr>
      </w:pPr>
    </w:p>
    <w:p w14:paraId="20917A42" w14:textId="77777777" w:rsidR="004A3290" w:rsidRDefault="004A3290" w:rsidP="004A3290">
      <w:pPr>
        <w:jc w:val="center"/>
        <w:rPr>
          <w:rFonts w:ascii="Times New Roman" w:hAnsi="Times New Roman" w:cs="Times New Roman"/>
          <w:sz w:val="26"/>
          <w:szCs w:val="26"/>
        </w:rPr>
      </w:pPr>
    </w:p>
    <w:p w14:paraId="4C7AD3A4" w14:textId="77777777" w:rsidR="004A3290" w:rsidRDefault="004A3290" w:rsidP="004A3290">
      <w:pPr>
        <w:jc w:val="center"/>
        <w:rPr>
          <w:rFonts w:ascii="Times New Roman" w:hAnsi="Times New Roman" w:cs="Times New Roman"/>
          <w:sz w:val="26"/>
          <w:szCs w:val="26"/>
        </w:rPr>
      </w:pPr>
    </w:p>
    <w:p w14:paraId="2B53F2FA" w14:textId="799FF2CE" w:rsidR="004A3290" w:rsidRDefault="004A3290" w:rsidP="004A3290">
      <w:pPr>
        <w:jc w:val="center"/>
        <w:rPr>
          <w:rFonts w:ascii="Times New Roman" w:hAnsi="Times New Roman" w:cs="Times New Roman"/>
          <w:sz w:val="26"/>
          <w:szCs w:val="26"/>
        </w:rPr>
      </w:pPr>
      <w:r>
        <w:rPr>
          <w:noProof/>
        </w:rPr>
        <w:lastRenderedPageBreak/>
        <w:drawing>
          <wp:inline distT="0" distB="0" distL="0" distR="0" wp14:anchorId="4B9BEDE0" wp14:editId="3A15885C">
            <wp:extent cx="5943600" cy="3864610"/>
            <wp:effectExtent l="0" t="0" r="0" b="2540"/>
            <wp:docPr id="731067439" name="Picture 3" descr="A map of the united states of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67439" name="Picture 3" descr="A map of the united states of americ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r>
        <w:rPr>
          <w:noProof/>
        </w:rPr>
        <w:drawing>
          <wp:inline distT="0" distB="0" distL="0" distR="0" wp14:anchorId="5D99F50D" wp14:editId="51F9B61C">
            <wp:extent cx="5943600" cy="3858895"/>
            <wp:effectExtent l="0" t="0" r="0" b="8255"/>
            <wp:docPr id="87891736" name="Picture 4" descr="A graph showing the growt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1736" name="Picture 4" descr="A graph showing the growth of a number of ye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78E218DD" w14:textId="77777777" w:rsidR="004A3290" w:rsidRDefault="004A3290" w:rsidP="004A3290">
      <w:pPr>
        <w:jc w:val="center"/>
        <w:rPr>
          <w:rFonts w:ascii="Times New Roman" w:hAnsi="Times New Roman" w:cs="Times New Roman"/>
          <w:sz w:val="26"/>
          <w:szCs w:val="26"/>
        </w:rPr>
      </w:pPr>
    </w:p>
    <w:p w14:paraId="10BF4917" w14:textId="24BD47AF" w:rsidR="004A3290" w:rsidRDefault="004A3290" w:rsidP="004A3290">
      <w:pPr>
        <w:rPr>
          <w:rFonts w:ascii="Times New Roman" w:hAnsi="Times New Roman" w:cs="Times New Roman"/>
          <w:b/>
          <w:bCs/>
          <w:sz w:val="26"/>
          <w:szCs w:val="26"/>
        </w:rPr>
      </w:pPr>
      <w:r>
        <w:rPr>
          <w:rFonts w:ascii="Times New Roman" w:hAnsi="Times New Roman" w:cs="Times New Roman"/>
          <w:b/>
          <w:bCs/>
          <w:sz w:val="26"/>
          <w:szCs w:val="26"/>
        </w:rPr>
        <w:lastRenderedPageBreak/>
        <w:t>SLR</w:t>
      </w:r>
    </w:p>
    <w:p w14:paraId="4E79DB9E" w14:textId="39AA1178" w:rsidR="004A3290" w:rsidRDefault="004A3290" w:rsidP="004A3290">
      <w:pPr>
        <w:rPr>
          <w:rFonts w:ascii="Times New Roman" w:hAnsi="Times New Roman" w:cs="Times New Roman"/>
          <w:b/>
          <w:bCs/>
          <w:sz w:val="26"/>
          <w:szCs w:val="26"/>
        </w:rPr>
      </w:pPr>
      <w:r>
        <w:rPr>
          <w:noProof/>
        </w:rPr>
        <w:drawing>
          <wp:inline distT="0" distB="0" distL="0" distR="0" wp14:anchorId="14A31FEB" wp14:editId="0DDC79C7">
            <wp:extent cx="5638412" cy="3254828"/>
            <wp:effectExtent l="0" t="0" r="635" b="3175"/>
            <wp:docPr id="150753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603" cy="3267061"/>
                    </a:xfrm>
                    <a:prstGeom prst="rect">
                      <a:avLst/>
                    </a:prstGeom>
                    <a:noFill/>
                    <a:ln>
                      <a:noFill/>
                    </a:ln>
                  </pic:spPr>
                </pic:pic>
              </a:graphicData>
            </a:graphic>
          </wp:inline>
        </w:drawing>
      </w:r>
    </w:p>
    <w:p w14:paraId="39295976" w14:textId="058DC42A" w:rsidR="004A3290" w:rsidRDefault="004A3290" w:rsidP="004A3290">
      <w:pPr>
        <w:jc w:val="center"/>
        <w:rPr>
          <w:rFonts w:ascii="Times New Roman" w:hAnsi="Times New Roman" w:cs="Times New Roman"/>
          <w:b/>
          <w:bCs/>
          <w:sz w:val="26"/>
          <w:szCs w:val="26"/>
        </w:rPr>
      </w:pPr>
      <w:r>
        <w:rPr>
          <w:noProof/>
        </w:rPr>
        <w:drawing>
          <wp:inline distT="0" distB="0" distL="0" distR="0" wp14:anchorId="796FF725" wp14:editId="7CC9997E">
            <wp:extent cx="5453000" cy="3635375"/>
            <wp:effectExtent l="0" t="0" r="0" b="3175"/>
            <wp:docPr id="1778502248" name="Picture 6" descr="A graph of a graph showing a line between a line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02248" name="Picture 6" descr="A graph of a graph showing a line between a line and a red 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164" cy="3644151"/>
                    </a:xfrm>
                    <a:prstGeom prst="rect">
                      <a:avLst/>
                    </a:prstGeom>
                    <a:noFill/>
                    <a:ln>
                      <a:noFill/>
                    </a:ln>
                  </pic:spPr>
                </pic:pic>
              </a:graphicData>
            </a:graphic>
          </wp:inline>
        </w:drawing>
      </w:r>
    </w:p>
    <w:p w14:paraId="2582A7FD" w14:textId="77777777" w:rsidR="004A3290" w:rsidRDefault="004A3290" w:rsidP="004A3290">
      <w:pPr>
        <w:jc w:val="center"/>
        <w:rPr>
          <w:rFonts w:ascii="Times New Roman" w:hAnsi="Times New Roman" w:cs="Times New Roman"/>
          <w:b/>
          <w:bCs/>
          <w:sz w:val="26"/>
          <w:szCs w:val="26"/>
        </w:rPr>
      </w:pPr>
    </w:p>
    <w:p w14:paraId="0655B9F8" w14:textId="77777777" w:rsidR="004A3290" w:rsidRDefault="004A3290" w:rsidP="004A3290">
      <w:pPr>
        <w:jc w:val="center"/>
        <w:rPr>
          <w:rFonts w:ascii="Times New Roman" w:hAnsi="Times New Roman" w:cs="Times New Roman"/>
          <w:b/>
          <w:bCs/>
          <w:sz w:val="26"/>
          <w:szCs w:val="26"/>
        </w:rPr>
      </w:pPr>
    </w:p>
    <w:p w14:paraId="614EF739" w14:textId="77777777" w:rsidR="00890C96" w:rsidRDefault="00890C96" w:rsidP="004A3290">
      <w:pPr>
        <w:jc w:val="center"/>
        <w:rPr>
          <w:rFonts w:ascii="Times New Roman" w:hAnsi="Times New Roman" w:cs="Times New Roman"/>
          <w:b/>
          <w:bCs/>
          <w:sz w:val="26"/>
          <w:szCs w:val="26"/>
        </w:rPr>
      </w:pPr>
      <w:r>
        <w:rPr>
          <w:noProof/>
        </w:rPr>
        <w:lastRenderedPageBreak/>
        <w:drawing>
          <wp:inline distT="0" distB="0" distL="0" distR="0" wp14:anchorId="0FB63A64" wp14:editId="6EFB477C">
            <wp:extent cx="5943600" cy="3483429"/>
            <wp:effectExtent l="0" t="0" r="0" b="3175"/>
            <wp:docPr id="1917389673" name="Picture 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89673" name="Picture 7" descr="A graph with 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805" cy="3486479"/>
                    </a:xfrm>
                    <a:prstGeom prst="rect">
                      <a:avLst/>
                    </a:prstGeom>
                    <a:noFill/>
                    <a:ln>
                      <a:noFill/>
                    </a:ln>
                  </pic:spPr>
                </pic:pic>
              </a:graphicData>
            </a:graphic>
          </wp:inline>
        </w:drawing>
      </w:r>
    </w:p>
    <w:p w14:paraId="18F45B7F" w14:textId="77777777" w:rsidR="00890C96" w:rsidRDefault="00890C96" w:rsidP="004A3290">
      <w:pPr>
        <w:jc w:val="center"/>
        <w:rPr>
          <w:rFonts w:ascii="Times New Roman" w:hAnsi="Times New Roman" w:cs="Times New Roman"/>
          <w:b/>
          <w:bCs/>
          <w:sz w:val="26"/>
          <w:szCs w:val="26"/>
        </w:rPr>
      </w:pPr>
    </w:p>
    <w:p w14:paraId="2F4A01AF" w14:textId="694F0EB6" w:rsidR="004A3290" w:rsidRDefault="00890C96" w:rsidP="004A3290">
      <w:pPr>
        <w:jc w:val="center"/>
        <w:rPr>
          <w:rFonts w:ascii="Times New Roman" w:hAnsi="Times New Roman" w:cs="Times New Roman"/>
          <w:b/>
          <w:bCs/>
          <w:sz w:val="26"/>
          <w:szCs w:val="26"/>
        </w:rPr>
      </w:pPr>
      <w:r>
        <w:rPr>
          <w:noProof/>
        </w:rPr>
        <w:drawing>
          <wp:inline distT="0" distB="0" distL="0" distR="0" wp14:anchorId="731D496C" wp14:editId="007E4F2C">
            <wp:extent cx="4996543" cy="3981754"/>
            <wp:effectExtent l="0" t="0" r="0" b="0"/>
            <wp:docPr id="1478970169" name="Picture 8" descr="A red line with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70169" name="Picture 8" descr="A red line with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659" cy="3987424"/>
                    </a:xfrm>
                    <a:prstGeom prst="rect">
                      <a:avLst/>
                    </a:prstGeom>
                    <a:noFill/>
                    <a:ln>
                      <a:noFill/>
                    </a:ln>
                  </pic:spPr>
                </pic:pic>
              </a:graphicData>
            </a:graphic>
          </wp:inline>
        </w:drawing>
      </w:r>
    </w:p>
    <w:p w14:paraId="14010676" w14:textId="27C3692F" w:rsidR="00890C96" w:rsidRDefault="00890C96" w:rsidP="004A3290">
      <w:pPr>
        <w:jc w:val="center"/>
        <w:rPr>
          <w:rFonts w:ascii="Times New Roman" w:hAnsi="Times New Roman" w:cs="Times New Roman"/>
          <w:b/>
          <w:bCs/>
          <w:sz w:val="26"/>
          <w:szCs w:val="26"/>
        </w:rPr>
      </w:pPr>
      <w:r>
        <w:rPr>
          <w:noProof/>
        </w:rPr>
        <w:lastRenderedPageBreak/>
        <w:drawing>
          <wp:inline distT="0" distB="0" distL="0" distR="0" wp14:anchorId="68BD3C7C" wp14:editId="3F4BEDB9">
            <wp:extent cx="5943600" cy="4736465"/>
            <wp:effectExtent l="0" t="0" r="0" b="6985"/>
            <wp:docPr id="8477935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36465"/>
                    </a:xfrm>
                    <a:prstGeom prst="rect">
                      <a:avLst/>
                    </a:prstGeom>
                    <a:noFill/>
                    <a:ln>
                      <a:noFill/>
                    </a:ln>
                  </pic:spPr>
                </pic:pic>
              </a:graphicData>
            </a:graphic>
          </wp:inline>
        </w:drawing>
      </w:r>
    </w:p>
    <w:p w14:paraId="12DAD289" w14:textId="77777777" w:rsidR="00890C96" w:rsidRDefault="00890C96" w:rsidP="004A3290">
      <w:pPr>
        <w:jc w:val="center"/>
        <w:rPr>
          <w:rFonts w:ascii="Times New Roman" w:hAnsi="Times New Roman" w:cs="Times New Roman"/>
          <w:b/>
          <w:bCs/>
          <w:sz w:val="26"/>
          <w:szCs w:val="26"/>
        </w:rPr>
      </w:pPr>
    </w:p>
    <w:p w14:paraId="6C5F2398" w14:textId="77777777" w:rsidR="00890C96" w:rsidRDefault="00890C96" w:rsidP="004A3290">
      <w:pPr>
        <w:jc w:val="center"/>
        <w:rPr>
          <w:rFonts w:ascii="Times New Roman" w:hAnsi="Times New Roman" w:cs="Times New Roman"/>
          <w:b/>
          <w:bCs/>
          <w:sz w:val="26"/>
          <w:szCs w:val="26"/>
        </w:rPr>
      </w:pPr>
    </w:p>
    <w:p w14:paraId="333BF481" w14:textId="77777777" w:rsidR="00890C96" w:rsidRDefault="00890C96" w:rsidP="004A3290">
      <w:pPr>
        <w:jc w:val="center"/>
        <w:rPr>
          <w:rFonts w:ascii="Times New Roman" w:hAnsi="Times New Roman" w:cs="Times New Roman"/>
          <w:b/>
          <w:bCs/>
          <w:sz w:val="26"/>
          <w:szCs w:val="26"/>
        </w:rPr>
      </w:pPr>
    </w:p>
    <w:p w14:paraId="45C9363A" w14:textId="77777777" w:rsidR="00890C96" w:rsidRDefault="00890C96" w:rsidP="004A3290">
      <w:pPr>
        <w:jc w:val="center"/>
        <w:rPr>
          <w:rFonts w:ascii="Times New Roman" w:hAnsi="Times New Roman" w:cs="Times New Roman"/>
          <w:b/>
          <w:bCs/>
          <w:sz w:val="26"/>
          <w:szCs w:val="26"/>
        </w:rPr>
      </w:pPr>
    </w:p>
    <w:p w14:paraId="4616274A" w14:textId="77777777" w:rsidR="00890C96" w:rsidRDefault="00890C96" w:rsidP="004A3290">
      <w:pPr>
        <w:jc w:val="center"/>
        <w:rPr>
          <w:rFonts w:ascii="Times New Roman" w:hAnsi="Times New Roman" w:cs="Times New Roman"/>
          <w:b/>
          <w:bCs/>
          <w:sz w:val="26"/>
          <w:szCs w:val="26"/>
        </w:rPr>
      </w:pPr>
    </w:p>
    <w:p w14:paraId="7E4DDB7C" w14:textId="77777777" w:rsidR="00890C96" w:rsidRDefault="00890C96" w:rsidP="004A3290">
      <w:pPr>
        <w:jc w:val="center"/>
        <w:rPr>
          <w:rFonts w:ascii="Times New Roman" w:hAnsi="Times New Roman" w:cs="Times New Roman"/>
          <w:b/>
          <w:bCs/>
          <w:sz w:val="26"/>
          <w:szCs w:val="26"/>
        </w:rPr>
      </w:pPr>
    </w:p>
    <w:p w14:paraId="2F04EDDD" w14:textId="77777777" w:rsidR="00890C96" w:rsidRDefault="00890C96" w:rsidP="004A3290">
      <w:pPr>
        <w:jc w:val="center"/>
        <w:rPr>
          <w:rFonts w:ascii="Times New Roman" w:hAnsi="Times New Roman" w:cs="Times New Roman"/>
          <w:b/>
          <w:bCs/>
          <w:sz w:val="26"/>
          <w:szCs w:val="26"/>
        </w:rPr>
      </w:pPr>
    </w:p>
    <w:p w14:paraId="2EC4E64A" w14:textId="77777777" w:rsidR="00890C96" w:rsidRDefault="00890C96" w:rsidP="004A3290">
      <w:pPr>
        <w:jc w:val="center"/>
        <w:rPr>
          <w:rFonts w:ascii="Times New Roman" w:hAnsi="Times New Roman" w:cs="Times New Roman"/>
          <w:b/>
          <w:bCs/>
          <w:sz w:val="26"/>
          <w:szCs w:val="26"/>
        </w:rPr>
      </w:pPr>
    </w:p>
    <w:p w14:paraId="2EED2762" w14:textId="77777777" w:rsidR="00890C96" w:rsidRDefault="00890C96" w:rsidP="004A3290">
      <w:pPr>
        <w:jc w:val="center"/>
        <w:rPr>
          <w:rFonts w:ascii="Times New Roman" w:hAnsi="Times New Roman" w:cs="Times New Roman"/>
          <w:b/>
          <w:bCs/>
          <w:sz w:val="26"/>
          <w:szCs w:val="26"/>
        </w:rPr>
      </w:pPr>
    </w:p>
    <w:p w14:paraId="72A4A88D" w14:textId="77777777" w:rsidR="00890C96" w:rsidRDefault="00890C96" w:rsidP="004A3290">
      <w:pPr>
        <w:jc w:val="center"/>
        <w:rPr>
          <w:rFonts w:ascii="Times New Roman" w:hAnsi="Times New Roman" w:cs="Times New Roman"/>
          <w:b/>
          <w:bCs/>
          <w:sz w:val="26"/>
          <w:szCs w:val="26"/>
        </w:rPr>
      </w:pPr>
    </w:p>
    <w:p w14:paraId="70ED2109" w14:textId="3B5F7097" w:rsidR="00890C96" w:rsidRDefault="00890C96" w:rsidP="00890C96">
      <w:pPr>
        <w:rPr>
          <w:rFonts w:ascii="Times New Roman" w:hAnsi="Times New Roman" w:cs="Times New Roman"/>
          <w:b/>
          <w:bCs/>
          <w:sz w:val="26"/>
          <w:szCs w:val="26"/>
        </w:rPr>
      </w:pPr>
      <w:r>
        <w:rPr>
          <w:rFonts w:ascii="Times New Roman" w:hAnsi="Times New Roman" w:cs="Times New Roman"/>
          <w:b/>
          <w:bCs/>
          <w:sz w:val="26"/>
          <w:szCs w:val="26"/>
        </w:rPr>
        <w:lastRenderedPageBreak/>
        <w:t>MLR</w:t>
      </w:r>
    </w:p>
    <w:p w14:paraId="60526E7D" w14:textId="58562290" w:rsidR="00890C96" w:rsidRDefault="00890C96" w:rsidP="00890C96">
      <w:pPr>
        <w:rPr>
          <w:rFonts w:ascii="Times New Roman" w:hAnsi="Times New Roman" w:cs="Times New Roman"/>
          <w:b/>
          <w:bCs/>
          <w:sz w:val="26"/>
          <w:szCs w:val="26"/>
        </w:rPr>
      </w:pPr>
      <w:r>
        <w:rPr>
          <w:noProof/>
        </w:rPr>
        <w:drawing>
          <wp:inline distT="0" distB="0" distL="0" distR="0" wp14:anchorId="32621733" wp14:editId="3874910B">
            <wp:extent cx="5943600" cy="4736465"/>
            <wp:effectExtent l="0" t="0" r="0" b="6985"/>
            <wp:docPr id="16176114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6465"/>
                    </a:xfrm>
                    <a:prstGeom prst="rect">
                      <a:avLst/>
                    </a:prstGeom>
                    <a:noFill/>
                    <a:ln>
                      <a:noFill/>
                    </a:ln>
                  </pic:spPr>
                </pic:pic>
              </a:graphicData>
            </a:graphic>
          </wp:inline>
        </w:drawing>
      </w:r>
    </w:p>
    <w:p w14:paraId="29704D4F" w14:textId="77777777" w:rsidR="00890C96" w:rsidRDefault="00890C96" w:rsidP="00890C96">
      <w:pPr>
        <w:rPr>
          <w:rFonts w:ascii="Times New Roman" w:hAnsi="Times New Roman" w:cs="Times New Roman"/>
          <w:b/>
          <w:bCs/>
          <w:sz w:val="26"/>
          <w:szCs w:val="26"/>
        </w:rPr>
      </w:pPr>
    </w:p>
    <w:p w14:paraId="01F9E7EA" w14:textId="77777777" w:rsidR="00890C96" w:rsidRDefault="00890C96" w:rsidP="00890C96">
      <w:pPr>
        <w:rPr>
          <w:rFonts w:ascii="Times New Roman" w:hAnsi="Times New Roman" w:cs="Times New Roman"/>
          <w:b/>
          <w:bCs/>
          <w:sz w:val="26"/>
          <w:szCs w:val="26"/>
        </w:rPr>
      </w:pPr>
    </w:p>
    <w:p w14:paraId="75D4D66E" w14:textId="77777777" w:rsidR="00890C96" w:rsidRDefault="00890C96" w:rsidP="00890C96">
      <w:pPr>
        <w:rPr>
          <w:rFonts w:ascii="Times New Roman" w:hAnsi="Times New Roman" w:cs="Times New Roman"/>
          <w:b/>
          <w:bCs/>
          <w:sz w:val="26"/>
          <w:szCs w:val="26"/>
        </w:rPr>
      </w:pPr>
    </w:p>
    <w:p w14:paraId="220F5441" w14:textId="77777777" w:rsidR="00890C96" w:rsidRDefault="00890C96" w:rsidP="00890C96">
      <w:pPr>
        <w:rPr>
          <w:rFonts w:ascii="Times New Roman" w:hAnsi="Times New Roman" w:cs="Times New Roman"/>
          <w:b/>
          <w:bCs/>
          <w:sz w:val="26"/>
          <w:szCs w:val="26"/>
        </w:rPr>
      </w:pPr>
    </w:p>
    <w:p w14:paraId="02A8696C" w14:textId="77777777" w:rsidR="00890C96" w:rsidRDefault="00890C96" w:rsidP="00890C96">
      <w:pPr>
        <w:rPr>
          <w:rFonts w:ascii="Times New Roman" w:hAnsi="Times New Roman" w:cs="Times New Roman"/>
          <w:b/>
          <w:bCs/>
          <w:sz w:val="26"/>
          <w:szCs w:val="26"/>
        </w:rPr>
      </w:pPr>
    </w:p>
    <w:p w14:paraId="7DDB265A" w14:textId="77777777" w:rsidR="00890C96" w:rsidRDefault="00890C96" w:rsidP="00890C96">
      <w:pPr>
        <w:rPr>
          <w:rFonts w:ascii="Times New Roman" w:hAnsi="Times New Roman" w:cs="Times New Roman"/>
          <w:b/>
          <w:bCs/>
          <w:sz w:val="26"/>
          <w:szCs w:val="26"/>
        </w:rPr>
      </w:pPr>
    </w:p>
    <w:p w14:paraId="5912E2C4" w14:textId="77777777" w:rsidR="00890C96" w:rsidRDefault="00890C96" w:rsidP="00890C96">
      <w:pPr>
        <w:rPr>
          <w:rFonts w:ascii="Times New Roman" w:hAnsi="Times New Roman" w:cs="Times New Roman"/>
          <w:b/>
          <w:bCs/>
          <w:sz w:val="26"/>
          <w:szCs w:val="26"/>
        </w:rPr>
      </w:pPr>
    </w:p>
    <w:p w14:paraId="3CFE795E" w14:textId="77777777" w:rsidR="00890C96" w:rsidRDefault="00890C96" w:rsidP="00890C96">
      <w:pPr>
        <w:rPr>
          <w:rFonts w:ascii="Times New Roman" w:hAnsi="Times New Roman" w:cs="Times New Roman"/>
          <w:b/>
          <w:bCs/>
          <w:sz w:val="26"/>
          <w:szCs w:val="26"/>
        </w:rPr>
      </w:pPr>
    </w:p>
    <w:p w14:paraId="7B334B20" w14:textId="77777777" w:rsidR="00890C96" w:rsidRDefault="00890C96" w:rsidP="00890C96">
      <w:pPr>
        <w:rPr>
          <w:rFonts w:ascii="Times New Roman" w:hAnsi="Times New Roman" w:cs="Times New Roman"/>
          <w:b/>
          <w:bCs/>
          <w:sz w:val="26"/>
          <w:szCs w:val="26"/>
        </w:rPr>
      </w:pPr>
    </w:p>
    <w:p w14:paraId="43F201D8"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lastRenderedPageBreak/>
        <w:t>The head of the predictions DataFrame provides a side-by-side comparison of actual versus predicted life expectancy values. Here are a few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057"/>
      </w:tblGrid>
      <w:tr w:rsidR="00890C96" w:rsidRPr="00890C96" w14:paraId="5641FEF7" w14:textId="77777777" w:rsidTr="00890C96">
        <w:trPr>
          <w:tblHeader/>
          <w:tblCellSpacing w:w="15" w:type="dxa"/>
        </w:trPr>
        <w:tc>
          <w:tcPr>
            <w:tcW w:w="0" w:type="auto"/>
            <w:vAlign w:val="center"/>
            <w:hideMark/>
          </w:tcPr>
          <w:p w14:paraId="363D9802"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Actual</w:t>
            </w:r>
          </w:p>
        </w:tc>
        <w:tc>
          <w:tcPr>
            <w:tcW w:w="0" w:type="auto"/>
            <w:vAlign w:val="center"/>
            <w:hideMark/>
          </w:tcPr>
          <w:p w14:paraId="73FD44B6"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Predicted</w:t>
            </w:r>
          </w:p>
        </w:tc>
      </w:tr>
      <w:tr w:rsidR="00890C96" w:rsidRPr="00890C96" w14:paraId="755F05A9" w14:textId="77777777" w:rsidTr="00890C96">
        <w:trPr>
          <w:tblCellSpacing w:w="15" w:type="dxa"/>
        </w:trPr>
        <w:tc>
          <w:tcPr>
            <w:tcW w:w="0" w:type="auto"/>
            <w:vAlign w:val="center"/>
            <w:hideMark/>
          </w:tcPr>
          <w:p w14:paraId="3CDF2585"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73.7</w:t>
            </w:r>
          </w:p>
        </w:tc>
        <w:tc>
          <w:tcPr>
            <w:tcW w:w="0" w:type="auto"/>
            <w:vAlign w:val="center"/>
            <w:hideMark/>
          </w:tcPr>
          <w:p w14:paraId="57AF2659"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70.60</w:t>
            </w:r>
          </w:p>
        </w:tc>
      </w:tr>
      <w:tr w:rsidR="00890C96" w:rsidRPr="00890C96" w14:paraId="2FB3A67B" w14:textId="77777777" w:rsidTr="00890C96">
        <w:trPr>
          <w:tblCellSpacing w:w="15" w:type="dxa"/>
        </w:trPr>
        <w:tc>
          <w:tcPr>
            <w:tcW w:w="0" w:type="auto"/>
            <w:vAlign w:val="center"/>
            <w:hideMark/>
          </w:tcPr>
          <w:p w14:paraId="596922B9"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75.9</w:t>
            </w:r>
          </w:p>
        </w:tc>
        <w:tc>
          <w:tcPr>
            <w:tcW w:w="0" w:type="auto"/>
            <w:vAlign w:val="center"/>
            <w:hideMark/>
          </w:tcPr>
          <w:p w14:paraId="3165F6A3"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76.03</w:t>
            </w:r>
          </w:p>
        </w:tc>
      </w:tr>
      <w:tr w:rsidR="00890C96" w:rsidRPr="00890C96" w14:paraId="0ED658BB" w14:textId="77777777" w:rsidTr="00890C96">
        <w:trPr>
          <w:tblCellSpacing w:w="15" w:type="dxa"/>
        </w:trPr>
        <w:tc>
          <w:tcPr>
            <w:tcW w:w="0" w:type="auto"/>
            <w:vAlign w:val="center"/>
            <w:hideMark/>
          </w:tcPr>
          <w:p w14:paraId="1A06794E"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74.2</w:t>
            </w:r>
          </w:p>
        </w:tc>
        <w:tc>
          <w:tcPr>
            <w:tcW w:w="0" w:type="auto"/>
            <w:vAlign w:val="center"/>
            <w:hideMark/>
          </w:tcPr>
          <w:p w14:paraId="056856CB"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74.45</w:t>
            </w:r>
          </w:p>
        </w:tc>
      </w:tr>
      <w:tr w:rsidR="00890C96" w:rsidRPr="00890C96" w14:paraId="5549C98C" w14:textId="77777777" w:rsidTr="00890C96">
        <w:trPr>
          <w:tblCellSpacing w:w="15" w:type="dxa"/>
        </w:trPr>
        <w:tc>
          <w:tcPr>
            <w:tcW w:w="0" w:type="auto"/>
            <w:vAlign w:val="center"/>
            <w:hideMark/>
          </w:tcPr>
          <w:p w14:paraId="5016AD23"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76.8</w:t>
            </w:r>
          </w:p>
        </w:tc>
        <w:tc>
          <w:tcPr>
            <w:tcW w:w="0" w:type="auto"/>
            <w:vAlign w:val="center"/>
            <w:hideMark/>
          </w:tcPr>
          <w:p w14:paraId="10FD0231"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79.68</w:t>
            </w:r>
          </w:p>
        </w:tc>
      </w:tr>
      <w:tr w:rsidR="00890C96" w:rsidRPr="00890C96" w14:paraId="4C40698B" w14:textId="77777777" w:rsidTr="00890C96">
        <w:trPr>
          <w:tblCellSpacing w:w="15" w:type="dxa"/>
        </w:trPr>
        <w:tc>
          <w:tcPr>
            <w:tcW w:w="0" w:type="auto"/>
            <w:vAlign w:val="center"/>
            <w:hideMark/>
          </w:tcPr>
          <w:p w14:paraId="0AC5DF19"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51.9</w:t>
            </w:r>
          </w:p>
        </w:tc>
        <w:tc>
          <w:tcPr>
            <w:tcW w:w="0" w:type="auto"/>
            <w:vAlign w:val="center"/>
            <w:hideMark/>
          </w:tcPr>
          <w:p w14:paraId="640C7063"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54.04</w:t>
            </w:r>
          </w:p>
        </w:tc>
      </w:tr>
    </w:tbl>
    <w:p w14:paraId="5E1DE2B2" w14:textId="77777777" w:rsidR="00890C96" w:rsidRPr="00890C96" w:rsidRDefault="00890C96" w:rsidP="00890C96">
      <w:pPr>
        <w:numPr>
          <w:ilvl w:val="0"/>
          <w:numId w:val="17"/>
        </w:numPr>
        <w:rPr>
          <w:rFonts w:ascii="Times New Roman" w:hAnsi="Times New Roman" w:cs="Times New Roman"/>
          <w:sz w:val="26"/>
          <w:szCs w:val="26"/>
        </w:rPr>
      </w:pPr>
      <w:r w:rsidRPr="00890C96">
        <w:rPr>
          <w:rFonts w:ascii="Times New Roman" w:hAnsi="Times New Roman" w:cs="Times New Roman"/>
          <w:sz w:val="26"/>
          <w:szCs w:val="26"/>
        </w:rPr>
        <w:t>The predicted values are fairly close to the actual values, with some deviation, especially for the lower life expectancy (e.g., 51.9 vs 54.04).</w:t>
      </w:r>
    </w:p>
    <w:p w14:paraId="3B8EA167"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Scatter Plot Visualization:</w:t>
      </w:r>
    </w:p>
    <w:p w14:paraId="69D2C4FB"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The scatter plot compares the predicted life expectancy against the actual values, with a red dashed line representing the "ideal" scenario where the predicted values exactly match the actual values.</w:t>
      </w:r>
    </w:p>
    <w:p w14:paraId="55DBC5D9" w14:textId="77777777" w:rsidR="00890C96" w:rsidRPr="00890C96" w:rsidRDefault="00890C96" w:rsidP="00890C96">
      <w:pPr>
        <w:numPr>
          <w:ilvl w:val="0"/>
          <w:numId w:val="18"/>
        </w:numPr>
        <w:rPr>
          <w:rFonts w:ascii="Times New Roman" w:hAnsi="Times New Roman" w:cs="Times New Roman"/>
          <w:sz w:val="26"/>
          <w:szCs w:val="26"/>
        </w:rPr>
      </w:pPr>
      <w:r w:rsidRPr="00890C96">
        <w:rPr>
          <w:rFonts w:ascii="Times New Roman" w:hAnsi="Times New Roman" w:cs="Times New Roman"/>
          <w:sz w:val="26"/>
          <w:szCs w:val="26"/>
        </w:rPr>
        <w:t>Ideal Line: This line represents where the predicted values would be if the model were perfect. Points close to this line indicate better predictions.</w:t>
      </w:r>
    </w:p>
    <w:p w14:paraId="6B41E88D" w14:textId="77777777" w:rsidR="00890C96" w:rsidRPr="00890C96" w:rsidRDefault="00890C96" w:rsidP="00890C96">
      <w:pPr>
        <w:numPr>
          <w:ilvl w:val="0"/>
          <w:numId w:val="18"/>
        </w:numPr>
        <w:rPr>
          <w:rFonts w:ascii="Times New Roman" w:hAnsi="Times New Roman" w:cs="Times New Roman"/>
          <w:sz w:val="26"/>
          <w:szCs w:val="26"/>
        </w:rPr>
      </w:pPr>
      <w:r w:rsidRPr="00890C96">
        <w:rPr>
          <w:rFonts w:ascii="Times New Roman" w:hAnsi="Times New Roman" w:cs="Times New Roman"/>
          <w:sz w:val="26"/>
          <w:szCs w:val="26"/>
        </w:rPr>
        <w:t>Scatter Distribution: Points scattered around the ideal line with some spread suggest that the model is relatively good but not perfect. The scatter allows you to see that most points fall close to the ideal line, which reflects the model's ability to predict life expectancy accurately, especially for values around the median range.</w:t>
      </w:r>
    </w:p>
    <w:p w14:paraId="5A835771"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Key Insights from the Plot:</w:t>
      </w:r>
    </w:p>
    <w:p w14:paraId="7BBE6B61" w14:textId="77777777" w:rsidR="00890C96" w:rsidRPr="00890C96" w:rsidRDefault="00890C96" w:rsidP="00890C96">
      <w:pPr>
        <w:numPr>
          <w:ilvl w:val="0"/>
          <w:numId w:val="19"/>
        </w:numPr>
        <w:rPr>
          <w:rFonts w:ascii="Times New Roman" w:hAnsi="Times New Roman" w:cs="Times New Roman"/>
          <w:sz w:val="26"/>
          <w:szCs w:val="26"/>
        </w:rPr>
      </w:pPr>
      <w:r w:rsidRPr="00890C96">
        <w:rPr>
          <w:rFonts w:ascii="Times New Roman" w:hAnsi="Times New Roman" w:cs="Times New Roman"/>
          <w:sz w:val="26"/>
          <w:szCs w:val="26"/>
        </w:rPr>
        <w:t>Consistency: Most predictions are fairly close to actual values, especially in the middle range of life expectancy.</w:t>
      </w:r>
    </w:p>
    <w:p w14:paraId="532A6691" w14:textId="77777777" w:rsidR="00890C96" w:rsidRPr="00890C96" w:rsidRDefault="00890C96" w:rsidP="00890C96">
      <w:pPr>
        <w:numPr>
          <w:ilvl w:val="0"/>
          <w:numId w:val="19"/>
        </w:numPr>
        <w:rPr>
          <w:rFonts w:ascii="Times New Roman" w:hAnsi="Times New Roman" w:cs="Times New Roman"/>
          <w:sz w:val="26"/>
          <w:szCs w:val="26"/>
        </w:rPr>
      </w:pPr>
      <w:r w:rsidRPr="00890C96">
        <w:rPr>
          <w:rFonts w:ascii="Times New Roman" w:hAnsi="Times New Roman" w:cs="Times New Roman"/>
          <w:sz w:val="26"/>
          <w:szCs w:val="26"/>
        </w:rPr>
        <w:t>Outliers: There might be some outliers, especially for countries with either very high or very low life expectancy values. These outliers could be due to unique factors not captured in the model or errors in the data.</w:t>
      </w:r>
    </w:p>
    <w:p w14:paraId="1CADAC1C" w14:textId="77777777" w:rsidR="00890C96" w:rsidRPr="00890C96" w:rsidRDefault="00890C96" w:rsidP="00890C96">
      <w:pPr>
        <w:rPr>
          <w:rFonts w:ascii="Times New Roman" w:hAnsi="Times New Roman" w:cs="Times New Roman"/>
          <w:sz w:val="26"/>
          <w:szCs w:val="26"/>
        </w:rPr>
      </w:pPr>
      <w:r w:rsidRPr="00890C96">
        <w:rPr>
          <w:rFonts w:ascii="Times New Roman" w:hAnsi="Times New Roman" w:cs="Times New Roman"/>
          <w:sz w:val="26"/>
          <w:szCs w:val="26"/>
        </w:rPr>
        <w:t>Next Steps for Improvement:</w:t>
      </w:r>
    </w:p>
    <w:p w14:paraId="4DB06312" w14:textId="77777777" w:rsidR="00890C96" w:rsidRPr="00890C96" w:rsidRDefault="00890C96" w:rsidP="00890C96">
      <w:pPr>
        <w:numPr>
          <w:ilvl w:val="0"/>
          <w:numId w:val="20"/>
        </w:numPr>
        <w:rPr>
          <w:rFonts w:ascii="Times New Roman" w:hAnsi="Times New Roman" w:cs="Times New Roman"/>
          <w:sz w:val="26"/>
          <w:szCs w:val="26"/>
        </w:rPr>
      </w:pPr>
      <w:r w:rsidRPr="00890C96">
        <w:rPr>
          <w:rFonts w:ascii="Times New Roman" w:hAnsi="Times New Roman" w:cs="Times New Roman"/>
          <w:sz w:val="26"/>
          <w:szCs w:val="26"/>
        </w:rPr>
        <w:lastRenderedPageBreak/>
        <w:t>Feature Engineering: You could consider adding other relevant factors (e.g., healthcare infrastructure, public policies) to improve the model.</w:t>
      </w:r>
    </w:p>
    <w:p w14:paraId="02D58C86" w14:textId="77777777" w:rsidR="00890C96" w:rsidRPr="00890C96" w:rsidRDefault="00890C96" w:rsidP="00890C96">
      <w:pPr>
        <w:numPr>
          <w:ilvl w:val="0"/>
          <w:numId w:val="20"/>
        </w:numPr>
        <w:rPr>
          <w:rFonts w:ascii="Times New Roman" w:hAnsi="Times New Roman" w:cs="Times New Roman"/>
          <w:sz w:val="26"/>
          <w:szCs w:val="26"/>
        </w:rPr>
      </w:pPr>
      <w:r w:rsidRPr="00890C96">
        <w:rPr>
          <w:rFonts w:ascii="Times New Roman" w:hAnsi="Times New Roman" w:cs="Times New Roman"/>
          <w:sz w:val="26"/>
          <w:szCs w:val="26"/>
        </w:rPr>
        <w:t>Model Tuning: Try more complex models like Random Forest or Gradient Boosting, which might better capture non-linear relationships and interactions between variables.</w:t>
      </w:r>
    </w:p>
    <w:p w14:paraId="22A9A15B" w14:textId="77777777" w:rsidR="00890C96" w:rsidRPr="00890C96" w:rsidRDefault="00890C96" w:rsidP="00890C96">
      <w:pPr>
        <w:rPr>
          <w:rFonts w:ascii="Times New Roman" w:hAnsi="Times New Roman" w:cs="Times New Roman"/>
          <w:sz w:val="26"/>
          <w:szCs w:val="26"/>
        </w:rPr>
      </w:pPr>
    </w:p>
    <w:sectPr w:rsidR="00890C96" w:rsidRPr="0089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9DC"/>
    <w:multiLevelType w:val="multilevel"/>
    <w:tmpl w:val="A4D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274E"/>
    <w:multiLevelType w:val="multilevel"/>
    <w:tmpl w:val="1FFC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7D46"/>
    <w:multiLevelType w:val="multilevel"/>
    <w:tmpl w:val="7A60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41CA2"/>
    <w:multiLevelType w:val="multilevel"/>
    <w:tmpl w:val="3B0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63824"/>
    <w:multiLevelType w:val="multilevel"/>
    <w:tmpl w:val="DE1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D1E77"/>
    <w:multiLevelType w:val="multilevel"/>
    <w:tmpl w:val="C8E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728FE"/>
    <w:multiLevelType w:val="multilevel"/>
    <w:tmpl w:val="B71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82606"/>
    <w:multiLevelType w:val="multilevel"/>
    <w:tmpl w:val="CEDE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426DB"/>
    <w:multiLevelType w:val="multilevel"/>
    <w:tmpl w:val="D0A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676A4"/>
    <w:multiLevelType w:val="multilevel"/>
    <w:tmpl w:val="AAE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C6B5A"/>
    <w:multiLevelType w:val="multilevel"/>
    <w:tmpl w:val="3AA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0524D"/>
    <w:multiLevelType w:val="multilevel"/>
    <w:tmpl w:val="2B9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03CAF"/>
    <w:multiLevelType w:val="multilevel"/>
    <w:tmpl w:val="AC5A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97C03"/>
    <w:multiLevelType w:val="multilevel"/>
    <w:tmpl w:val="BA16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67789"/>
    <w:multiLevelType w:val="multilevel"/>
    <w:tmpl w:val="1AF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201B8"/>
    <w:multiLevelType w:val="multilevel"/>
    <w:tmpl w:val="4D00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67B78"/>
    <w:multiLevelType w:val="multilevel"/>
    <w:tmpl w:val="E8D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D3628"/>
    <w:multiLevelType w:val="multilevel"/>
    <w:tmpl w:val="A6E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D47AC"/>
    <w:multiLevelType w:val="multilevel"/>
    <w:tmpl w:val="B522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43A4E"/>
    <w:multiLevelType w:val="multilevel"/>
    <w:tmpl w:val="1716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484789">
    <w:abstractNumId w:val="4"/>
  </w:num>
  <w:num w:numId="2" w16cid:durableId="1978878999">
    <w:abstractNumId w:val="8"/>
  </w:num>
  <w:num w:numId="3" w16cid:durableId="1552498058">
    <w:abstractNumId w:val="15"/>
  </w:num>
  <w:num w:numId="4" w16cid:durableId="315652945">
    <w:abstractNumId w:val="6"/>
  </w:num>
  <w:num w:numId="5" w16cid:durableId="105009306">
    <w:abstractNumId w:val="7"/>
  </w:num>
  <w:num w:numId="6" w16cid:durableId="2022463396">
    <w:abstractNumId w:val="19"/>
  </w:num>
  <w:num w:numId="7" w16cid:durableId="816801588">
    <w:abstractNumId w:val="1"/>
  </w:num>
  <w:num w:numId="8" w16cid:durableId="979730211">
    <w:abstractNumId w:val="3"/>
  </w:num>
  <w:num w:numId="9" w16cid:durableId="842551042">
    <w:abstractNumId w:val="11"/>
  </w:num>
  <w:num w:numId="10" w16cid:durableId="1303195912">
    <w:abstractNumId w:val="13"/>
  </w:num>
  <w:num w:numId="11" w16cid:durableId="1174539594">
    <w:abstractNumId w:val="9"/>
  </w:num>
  <w:num w:numId="12" w16cid:durableId="136998464">
    <w:abstractNumId w:val="17"/>
  </w:num>
  <w:num w:numId="13" w16cid:durableId="1622959455">
    <w:abstractNumId w:val="14"/>
  </w:num>
  <w:num w:numId="14" w16cid:durableId="1272281562">
    <w:abstractNumId w:val="12"/>
  </w:num>
  <w:num w:numId="15" w16cid:durableId="2020886866">
    <w:abstractNumId w:val="16"/>
  </w:num>
  <w:num w:numId="16" w16cid:durableId="1988053159">
    <w:abstractNumId w:val="2"/>
  </w:num>
  <w:num w:numId="17" w16cid:durableId="1649674885">
    <w:abstractNumId w:val="0"/>
  </w:num>
  <w:num w:numId="18" w16cid:durableId="599265127">
    <w:abstractNumId w:val="10"/>
  </w:num>
  <w:num w:numId="19" w16cid:durableId="1051614583">
    <w:abstractNumId w:val="5"/>
  </w:num>
  <w:num w:numId="20" w16cid:durableId="71007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0"/>
    <w:rsid w:val="00351ED0"/>
    <w:rsid w:val="004A3290"/>
    <w:rsid w:val="00781B7D"/>
    <w:rsid w:val="00890C96"/>
    <w:rsid w:val="00E775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BF8E"/>
  <w15:chartTrackingRefBased/>
  <w15:docId w15:val="{F200F223-AFC3-4544-A0FE-E3BB93D1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ajorBidi"/>
        <w:color w:val="000000" w:themeColor="text1"/>
        <w:kern w:val="2"/>
        <w:sz w:val="32"/>
        <w:szCs w:val="32"/>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351ED0"/>
    <w:pPr>
      <w:keepNext/>
      <w:keepLines/>
      <w:spacing w:before="360" w:after="80"/>
      <w:outlineLvl w:val="0"/>
    </w:pPr>
    <w:rPr>
      <w:rFonts w:eastAsiaTheme="majorEastAsia"/>
      <w:color w:val="0F4761" w:themeColor="accent1" w:themeShade="BF"/>
      <w:sz w:val="40"/>
      <w:szCs w:val="50"/>
    </w:rPr>
  </w:style>
  <w:style w:type="paragraph" w:styleId="Heading2">
    <w:name w:val="heading 2"/>
    <w:basedOn w:val="Normal"/>
    <w:next w:val="Normal"/>
    <w:link w:val="Heading2Char"/>
    <w:uiPriority w:val="9"/>
    <w:semiHidden/>
    <w:unhideWhenUsed/>
    <w:qFormat/>
    <w:rsid w:val="00351ED0"/>
    <w:pPr>
      <w:keepNext/>
      <w:keepLines/>
      <w:spacing w:before="160" w:after="80"/>
      <w:outlineLvl w:val="1"/>
    </w:pPr>
    <w:rPr>
      <w:rFonts w:eastAsiaTheme="majorEastAsia"/>
      <w:color w:val="0F4761" w:themeColor="accent1" w:themeShade="BF"/>
      <w:szCs w:val="40"/>
    </w:rPr>
  </w:style>
  <w:style w:type="paragraph" w:styleId="Heading3">
    <w:name w:val="heading 3"/>
    <w:basedOn w:val="Normal"/>
    <w:next w:val="Normal"/>
    <w:link w:val="Heading3Char"/>
    <w:uiPriority w:val="9"/>
    <w:semiHidden/>
    <w:unhideWhenUsed/>
    <w:qFormat/>
    <w:rsid w:val="00351ED0"/>
    <w:pPr>
      <w:keepNext/>
      <w:keepLines/>
      <w:spacing w:before="160" w:after="80"/>
      <w:outlineLvl w:val="2"/>
    </w:pPr>
    <w:rPr>
      <w:rFonts w:asciiTheme="minorHAnsi" w:eastAsiaTheme="majorEastAsia" w:hAnsiTheme="minorHAnsi"/>
      <w:color w:val="0F4761" w:themeColor="accent1" w:themeShade="BF"/>
      <w:sz w:val="28"/>
      <w:szCs w:val="35"/>
    </w:rPr>
  </w:style>
  <w:style w:type="paragraph" w:styleId="Heading4">
    <w:name w:val="heading 4"/>
    <w:basedOn w:val="Normal"/>
    <w:next w:val="Normal"/>
    <w:link w:val="Heading4Char"/>
    <w:uiPriority w:val="9"/>
    <w:semiHidden/>
    <w:unhideWhenUsed/>
    <w:qFormat/>
    <w:rsid w:val="00351ED0"/>
    <w:pPr>
      <w:keepNext/>
      <w:keepLines/>
      <w:spacing w:before="80" w:after="40"/>
      <w:outlineLvl w:val="3"/>
    </w:pPr>
    <w:rPr>
      <w:rFonts w:asciiTheme="minorHAnsi" w:eastAsiaTheme="majorEastAsia" w:hAnsiTheme="minorHAnsi"/>
      <w:i/>
      <w:iCs/>
      <w:color w:val="0F4761" w:themeColor="accent1" w:themeShade="BF"/>
      <w:szCs w:val="40"/>
    </w:rPr>
  </w:style>
  <w:style w:type="paragraph" w:styleId="Heading5">
    <w:name w:val="heading 5"/>
    <w:basedOn w:val="Normal"/>
    <w:next w:val="Normal"/>
    <w:link w:val="Heading5Char"/>
    <w:uiPriority w:val="9"/>
    <w:semiHidden/>
    <w:unhideWhenUsed/>
    <w:qFormat/>
    <w:rsid w:val="00351ED0"/>
    <w:pPr>
      <w:keepNext/>
      <w:keepLines/>
      <w:spacing w:before="80" w:after="40"/>
      <w:outlineLvl w:val="4"/>
    </w:pPr>
    <w:rPr>
      <w:rFonts w:asciiTheme="minorHAnsi" w:eastAsiaTheme="majorEastAsia" w:hAnsiTheme="minorHAnsi"/>
      <w:color w:val="0F4761" w:themeColor="accent1" w:themeShade="BF"/>
      <w:szCs w:val="40"/>
    </w:rPr>
  </w:style>
  <w:style w:type="paragraph" w:styleId="Heading6">
    <w:name w:val="heading 6"/>
    <w:basedOn w:val="Normal"/>
    <w:next w:val="Normal"/>
    <w:link w:val="Heading6Char"/>
    <w:uiPriority w:val="9"/>
    <w:semiHidden/>
    <w:unhideWhenUsed/>
    <w:qFormat/>
    <w:rsid w:val="00351ED0"/>
    <w:pPr>
      <w:keepNext/>
      <w:keepLines/>
      <w:spacing w:before="40" w:after="0"/>
      <w:outlineLvl w:val="5"/>
    </w:pPr>
    <w:rPr>
      <w:rFonts w:asciiTheme="minorHAnsi" w:eastAsiaTheme="majorEastAsia" w:hAnsiTheme="minorHAnsi"/>
      <w:i/>
      <w:iCs/>
      <w:color w:val="595959" w:themeColor="text1" w:themeTint="A6"/>
      <w:szCs w:val="40"/>
    </w:rPr>
  </w:style>
  <w:style w:type="paragraph" w:styleId="Heading7">
    <w:name w:val="heading 7"/>
    <w:basedOn w:val="Normal"/>
    <w:next w:val="Normal"/>
    <w:link w:val="Heading7Char"/>
    <w:uiPriority w:val="9"/>
    <w:semiHidden/>
    <w:unhideWhenUsed/>
    <w:qFormat/>
    <w:rsid w:val="00351ED0"/>
    <w:pPr>
      <w:keepNext/>
      <w:keepLines/>
      <w:spacing w:before="40" w:after="0"/>
      <w:outlineLvl w:val="6"/>
    </w:pPr>
    <w:rPr>
      <w:rFonts w:asciiTheme="minorHAnsi" w:eastAsiaTheme="majorEastAsia" w:hAnsiTheme="minorHAnsi"/>
      <w:color w:val="595959" w:themeColor="text1" w:themeTint="A6"/>
      <w:szCs w:val="40"/>
    </w:rPr>
  </w:style>
  <w:style w:type="paragraph" w:styleId="Heading8">
    <w:name w:val="heading 8"/>
    <w:basedOn w:val="Normal"/>
    <w:next w:val="Normal"/>
    <w:link w:val="Heading8Char"/>
    <w:uiPriority w:val="9"/>
    <w:semiHidden/>
    <w:unhideWhenUsed/>
    <w:qFormat/>
    <w:rsid w:val="00351ED0"/>
    <w:pPr>
      <w:keepNext/>
      <w:keepLines/>
      <w:spacing w:after="0"/>
      <w:outlineLvl w:val="7"/>
    </w:pPr>
    <w:rPr>
      <w:rFonts w:asciiTheme="minorHAnsi" w:eastAsiaTheme="majorEastAsia" w:hAnsiTheme="minorHAnsi"/>
      <w:i/>
      <w:iCs/>
      <w:color w:val="272727" w:themeColor="text1" w:themeTint="D8"/>
      <w:szCs w:val="40"/>
    </w:rPr>
  </w:style>
  <w:style w:type="paragraph" w:styleId="Heading9">
    <w:name w:val="heading 9"/>
    <w:basedOn w:val="Normal"/>
    <w:next w:val="Normal"/>
    <w:link w:val="Heading9Char"/>
    <w:uiPriority w:val="9"/>
    <w:semiHidden/>
    <w:unhideWhenUsed/>
    <w:qFormat/>
    <w:rsid w:val="00351ED0"/>
    <w:pPr>
      <w:keepNext/>
      <w:keepLines/>
      <w:spacing w:after="0"/>
      <w:outlineLvl w:val="8"/>
    </w:pPr>
    <w:rPr>
      <w:rFonts w:asciiTheme="minorHAnsi" w:eastAsiaTheme="majorEastAsia" w:hAnsiTheme="minorHAnsi"/>
      <w:color w:val="272727" w:themeColor="text1" w:themeTint="D8"/>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D0"/>
    <w:rPr>
      <w:rFonts w:eastAsiaTheme="majorEastAsia"/>
      <w:color w:val="0F4761" w:themeColor="accent1" w:themeShade="BF"/>
      <w:sz w:val="40"/>
      <w:szCs w:val="50"/>
    </w:rPr>
  </w:style>
  <w:style w:type="character" w:customStyle="1" w:styleId="Heading2Char">
    <w:name w:val="Heading 2 Char"/>
    <w:basedOn w:val="DefaultParagraphFont"/>
    <w:link w:val="Heading2"/>
    <w:uiPriority w:val="9"/>
    <w:semiHidden/>
    <w:rsid w:val="00351ED0"/>
    <w:rPr>
      <w:rFonts w:eastAsiaTheme="majorEastAsia"/>
      <w:color w:val="0F4761" w:themeColor="accent1" w:themeShade="BF"/>
      <w:szCs w:val="40"/>
    </w:rPr>
  </w:style>
  <w:style w:type="character" w:customStyle="1" w:styleId="Heading3Char">
    <w:name w:val="Heading 3 Char"/>
    <w:basedOn w:val="DefaultParagraphFont"/>
    <w:link w:val="Heading3"/>
    <w:uiPriority w:val="9"/>
    <w:semiHidden/>
    <w:rsid w:val="00351ED0"/>
    <w:rPr>
      <w:rFonts w:asciiTheme="minorHAnsi" w:eastAsiaTheme="majorEastAsia" w:hAnsiTheme="minorHAnsi"/>
      <w:color w:val="0F4761" w:themeColor="accent1" w:themeShade="BF"/>
      <w:sz w:val="28"/>
      <w:szCs w:val="35"/>
    </w:rPr>
  </w:style>
  <w:style w:type="character" w:customStyle="1" w:styleId="Heading4Char">
    <w:name w:val="Heading 4 Char"/>
    <w:basedOn w:val="DefaultParagraphFont"/>
    <w:link w:val="Heading4"/>
    <w:uiPriority w:val="9"/>
    <w:semiHidden/>
    <w:rsid w:val="00351ED0"/>
    <w:rPr>
      <w:rFonts w:asciiTheme="minorHAnsi" w:eastAsiaTheme="majorEastAsia" w:hAnsiTheme="minorHAnsi"/>
      <w:i/>
      <w:iCs/>
      <w:color w:val="0F4761" w:themeColor="accent1" w:themeShade="BF"/>
      <w:szCs w:val="40"/>
    </w:rPr>
  </w:style>
  <w:style w:type="character" w:customStyle="1" w:styleId="Heading5Char">
    <w:name w:val="Heading 5 Char"/>
    <w:basedOn w:val="DefaultParagraphFont"/>
    <w:link w:val="Heading5"/>
    <w:uiPriority w:val="9"/>
    <w:semiHidden/>
    <w:rsid w:val="00351ED0"/>
    <w:rPr>
      <w:rFonts w:asciiTheme="minorHAnsi" w:eastAsiaTheme="majorEastAsia" w:hAnsiTheme="minorHAnsi"/>
      <w:color w:val="0F4761" w:themeColor="accent1" w:themeShade="BF"/>
      <w:szCs w:val="40"/>
    </w:rPr>
  </w:style>
  <w:style w:type="character" w:customStyle="1" w:styleId="Heading6Char">
    <w:name w:val="Heading 6 Char"/>
    <w:basedOn w:val="DefaultParagraphFont"/>
    <w:link w:val="Heading6"/>
    <w:uiPriority w:val="9"/>
    <w:semiHidden/>
    <w:rsid w:val="00351ED0"/>
    <w:rPr>
      <w:rFonts w:asciiTheme="minorHAnsi" w:eastAsiaTheme="majorEastAsia" w:hAnsiTheme="minorHAnsi"/>
      <w:i/>
      <w:iCs/>
      <w:color w:val="595959" w:themeColor="text1" w:themeTint="A6"/>
      <w:szCs w:val="40"/>
    </w:rPr>
  </w:style>
  <w:style w:type="character" w:customStyle="1" w:styleId="Heading7Char">
    <w:name w:val="Heading 7 Char"/>
    <w:basedOn w:val="DefaultParagraphFont"/>
    <w:link w:val="Heading7"/>
    <w:uiPriority w:val="9"/>
    <w:semiHidden/>
    <w:rsid w:val="00351ED0"/>
    <w:rPr>
      <w:rFonts w:asciiTheme="minorHAnsi" w:eastAsiaTheme="majorEastAsia" w:hAnsiTheme="minorHAnsi"/>
      <w:color w:val="595959" w:themeColor="text1" w:themeTint="A6"/>
      <w:szCs w:val="40"/>
    </w:rPr>
  </w:style>
  <w:style w:type="character" w:customStyle="1" w:styleId="Heading8Char">
    <w:name w:val="Heading 8 Char"/>
    <w:basedOn w:val="DefaultParagraphFont"/>
    <w:link w:val="Heading8"/>
    <w:uiPriority w:val="9"/>
    <w:semiHidden/>
    <w:rsid w:val="00351ED0"/>
    <w:rPr>
      <w:rFonts w:asciiTheme="minorHAnsi" w:eastAsiaTheme="majorEastAsia" w:hAnsiTheme="minorHAnsi"/>
      <w:i/>
      <w:iCs/>
      <w:color w:val="272727" w:themeColor="text1" w:themeTint="D8"/>
      <w:szCs w:val="40"/>
    </w:rPr>
  </w:style>
  <w:style w:type="character" w:customStyle="1" w:styleId="Heading9Char">
    <w:name w:val="Heading 9 Char"/>
    <w:basedOn w:val="DefaultParagraphFont"/>
    <w:link w:val="Heading9"/>
    <w:uiPriority w:val="9"/>
    <w:semiHidden/>
    <w:rsid w:val="00351ED0"/>
    <w:rPr>
      <w:rFonts w:asciiTheme="minorHAnsi" w:eastAsiaTheme="majorEastAsia" w:hAnsiTheme="minorHAnsi"/>
      <w:color w:val="272727" w:themeColor="text1" w:themeTint="D8"/>
      <w:szCs w:val="40"/>
    </w:rPr>
  </w:style>
  <w:style w:type="paragraph" w:styleId="Title">
    <w:name w:val="Title"/>
    <w:basedOn w:val="Normal"/>
    <w:next w:val="Normal"/>
    <w:link w:val="TitleChar"/>
    <w:uiPriority w:val="10"/>
    <w:qFormat/>
    <w:rsid w:val="00351ED0"/>
    <w:pPr>
      <w:spacing w:after="80" w:line="240" w:lineRule="auto"/>
      <w:contextualSpacing/>
    </w:pPr>
    <w:rPr>
      <w:rFonts w:eastAsiaTheme="majorEastAsia"/>
      <w:color w:val="auto"/>
      <w:spacing w:val="-10"/>
      <w:kern w:val="28"/>
      <w:sz w:val="56"/>
      <w:szCs w:val="71"/>
    </w:rPr>
  </w:style>
  <w:style w:type="character" w:customStyle="1" w:styleId="TitleChar">
    <w:name w:val="Title Char"/>
    <w:basedOn w:val="DefaultParagraphFont"/>
    <w:link w:val="Title"/>
    <w:uiPriority w:val="10"/>
    <w:rsid w:val="00351ED0"/>
    <w:rPr>
      <w:rFonts w:eastAsiaTheme="majorEastAsia"/>
      <w:color w:val="auto"/>
      <w:spacing w:val="-10"/>
      <w:kern w:val="28"/>
      <w:sz w:val="56"/>
      <w:szCs w:val="71"/>
    </w:rPr>
  </w:style>
  <w:style w:type="paragraph" w:styleId="Subtitle">
    <w:name w:val="Subtitle"/>
    <w:basedOn w:val="Normal"/>
    <w:next w:val="Normal"/>
    <w:link w:val="SubtitleChar"/>
    <w:uiPriority w:val="11"/>
    <w:qFormat/>
    <w:rsid w:val="00351ED0"/>
    <w:pPr>
      <w:numPr>
        <w:ilvl w:val="1"/>
      </w:numPr>
      <w:spacing w:after="160"/>
    </w:pPr>
    <w:rPr>
      <w:rFonts w:asciiTheme="minorHAnsi" w:eastAsiaTheme="majorEastAsia" w:hAnsiTheme="minorHAnsi"/>
      <w:color w:val="595959" w:themeColor="text1" w:themeTint="A6"/>
      <w:spacing w:val="15"/>
      <w:sz w:val="28"/>
      <w:szCs w:val="35"/>
    </w:rPr>
  </w:style>
  <w:style w:type="character" w:customStyle="1" w:styleId="SubtitleChar">
    <w:name w:val="Subtitle Char"/>
    <w:basedOn w:val="DefaultParagraphFont"/>
    <w:link w:val="Subtitle"/>
    <w:uiPriority w:val="11"/>
    <w:rsid w:val="00351ED0"/>
    <w:rPr>
      <w:rFonts w:asciiTheme="minorHAnsi" w:eastAsiaTheme="majorEastAsia" w:hAnsiTheme="minorHAnsi"/>
      <w:color w:val="595959" w:themeColor="text1" w:themeTint="A6"/>
      <w:spacing w:val="15"/>
      <w:sz w:val="28"/>
      <w:szCs w:val="35"/>
    </w:rPr>
  </w:style>
  <w:style w:type="paragraph" w:styleId="Quote">
    <w:name w:val="Quote"/>
    <w:basedOn w:val="Normal"/>
    <w:next w:val="Normal"/>
    <w:link w:val="QuoteChar"/>
    <w:uiPriority w:val="29"/>
    <w:qFormat/>
    <w:rsid w:val="00351ED0"/>
    <w:pPr>
      <w:spacing w:before="160" w:after="160"/>
      <w:jc w:val="center"/>
    </w:pPr>
    <w:rPr>
      <w:i/>
      <w:iCs/>
      <w:color w:val="404040" w:themeColor="text1" w:themeTint="BF"/>
      <w:szCs w:val="40"/>
    </w:rPr>
  </w:style>
  <w:style w:type="character" w:customStyle="1" w:styleId="QuoteChar">
    <w:name w:val="Quote Char"/>
    <w:basedOn w:val="DefaultParagraphFont"/>
    <w:link w:val="Quote"/>
    <w:uiPriority w:val="29"/>
    <w:rsid w:val="00351ED0"/>
    <w:rPr>
      <w:i/>
      <w:iCs/>
      <w:color w:val="404040" w:themeColor="text1" w:themeTint="BF"/>
      <w:szCs w:val="40"/>
    </w:rPr>
  </w:style>
  <w:style w:type="paragraph" w:styleId="ListParagraph">
    <w:name w:val="List Paragraph"/>
    <w:basedOn w:val="Normal"/>
    <w:uiPriority w:val="34"/>
    <w:qFormat/>
    <w:rsid w:val="00351ED0"/>
    <w:pPr>
      <w:ind w:left="720"/>
      <w:contextualSpacing/>
    </w:pPr>
    <w:rPr>
      <w:szCs w:val="40"/>
    </w:rPr>
  </w:style>
  <w:style w:type="character" w:styleId="IntenseEmphasis">
    <w:name w:val="Intense Emphasis"/>
    <w:basedOn w:val="DefaultParagraphFont"/>
    <w:uiPriority w:val="21"/>
    <w:qFormat/>
    <w:rsid w:val="00351ED0"/>
    <w:rPr>
      <w:i/>
      <w:iCs/>
      <w:color w:val="0F4761" w:themeColor="accent1" w:themeShade="BF"/>
    </w:rPr>
  </w:style>
  <w:style w:type="paragraph" w:styleId="IntenseQuote">
    <w:name w:val="Intense Quote"/>
    <w:basedOn w:val="Normal"/>
    <w:next w:val="Normal"/>
    <w:link w:val="IntenseQuoteChar"/>
    <w:uiPriority w:val="30"/>
    <w:qFormat/>
    <w:rsid w:val="00351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40"/>
    </w:rPr>
  </w:style>
  <w:style w:type="character" w:customStyle="1" w:styleId="IntenseQuoteChar">
    <w:name w:val="Intense Quote Char"/>
    <w:basedOn w:val="DefaultParagraphFont"/>
    <w:link w:val="IntenseQuote"/>
    <w:uiPriority w:val="30"/>
    <w:rsid w:val="00351ED0"/>
    <w:rPr>
      <w:i/>
      <w:iCs/>
      <w:color w:val="0F4761" w:themeColor="accent1" w:themeShade="BF"/>
      <w:szCs w:val="40"/>
    </w:rPr>
  </w:style>
  <w:style w:type="character" w:styleId="IntenseReference">
    <w:name w:val="Intense Reference"/>
    <w:basedOn w:val="DefaultParagraphFont"/>
    <w:uiPriority w:val="32"/>
    <w:qFormat/>
    <w:rsid w:val="00351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750647">
      <w:bodyDiv w:val="1"/>
      <w:marLeft w:val="0"/>
      <w:marRight w:val="0"/>
      <w:marTop w:val="0"/>
      <w:marBottom w:val="0"/>
      <w:divBdr>
        <w:top w:val="none" w:sz="0" w:space="0" w:color="auto"/>
        <w:left w:val="none" w:sz="0" w:space="0" w:color="auto"/>
        <w:bottom w:val="none" w:sz="0" w:space="0" w:color="auto"/>
        <w:right w:val="none" w:sz="0" w:space="0" w:color="auto"/>
      </w:divBdr>
    </w:div>
    <w:div w:id="1165975841">
      <w:bodyDiv w:val="1"/>
      <w:marLeft w:val="0"/>
      <w:marRight w:val="0"/>
      <w:marTop w:val="0"/>
      <w:marBottom w:val="0"/>
      <w:divBdr>
        <w:top w:val="none" w:sz="0" w:space="0" w:color="auto"/>
        <w:left w:val="none" w:sz="0" w:space="0" w:color="auto"/>
        <w:bottom w:val="none" w:sz="0" w:space="0" w:color="auto"/>
        <w:right w:val="none" w:sz="0" w:space="0" w:color="auto"/>
      </w:divBdr>
    </w:div>
    <w:div w:id="1657219424">
      <w:bodyDiv w:val="1"/>
      <w:marLeft w:val="0"/>
      <w:marRight w:val="0"/>
      <w:marTop w:val="0"/>
      <w:marBottom w:val="0"/>
      <w:divBdr>
        <w:top w:val="none" w:sz="0" w:space="0" w:color="auto"/>
        <w:left w:val="none" w:sz="0" w:space="0" w:color="auto"/>
        <w:bottom w:val="none" w:sz="0" w:space="0" w:color="auto"/>
        <w:right w:val="none" w:sz="0" w:space="0" w:color="auto"/>
      </w:divBdr>
    </w:div>
    <w:div w:id="1718120019">
      <w:bodyDiv w:val="1"/>
      <w:marLeft w:val="0"/>
      <w:marRight w:val="0"/>
      <w:marTop w:val="0"/>
      <w:marBottom w:val="0"/>
      <w:divBdr>
        <w:top w:val="none" w:sz="0" w:space="0" w:color="auto"/>
        <w:left w:val="none" w:sz="0" w:space="0" w:color="auto"/>
        <w:bottom w:val="none" w:sz="0" w:space="0" w:color="auto"/>
        <w:right w:val="none" w:sz="0" w:space="0" w:color="auto"/>
      </w:divBdr>
    </w:div>
    <w:div w:id="1956402990">
      <w:bodyDiv w:val="1"/>
      <w:marLeft w:val="0"/>
      <w:marRight w:val="0"/>
      <w:marTop w:val="0"/>
      <w:marBottom w:val="0"/>
      <w:divBdr>
        <w:top w:val="none" w:sz="0" w:space="0" w:color="auto"/>
        <w:left w:val="none" w:sz="0" w:space="0" w:color="auto"/>
        <w:bottom w:val="none" w:sz="0" w:space="0" w:color="auto"/>
        <w:right w:val="none" w:sz="0" w:space="0" w:color="auto"/>
      </w:divBdr>
    </w:div>
    <w:div w:id="213085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J</dc:creator>
  <cp:keywords/>
  <dc:description/>
  <cp:lastModifiedBy>Siva  J</cp:lastModifiedBy>
  <cp:revision>2</cp:revision>
  <dcterms:created xsi:type="dcterms:W3CDTF">2024-12-10T11:12:00Z</dcterms:created>
  <dcterms:modified xsi:type="dcterms:W3CDTF">2024-12-10T11:27:00Z</dcterms:modified>
</cp:coreProperties>
</file>