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293B"/>
          <w:sz w:val="44"/>
          <w:szCs w:val="44"/>
        </w:rPr>
        <w:t xml:space="preserve">Financial Forecasting Report</w:t>
      </w:r>
    </w:p>
    <w:p>
      <w:pPr>
        <w:spacing w:after="300"/>
      </w:pPr>
      <w:r>
        <w:rPr>
          <w:color w:val="64748B"/>
          <w:sz w:val="22"/>
          <w:szCs w:val="22"/>
        </w:rPr>
        <w:t xml:space="preserve">Sample Superstore Dataset · Revenue Forecast for Jan–Jun 2019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2563EB"/>
                <w:sz w:val="30"/>
                <w:szCs w:val="30"/>
              </w:rPr>
              <w:t xml:space="preserve">15.6%</w:t>
            </w:r>
          </w:p>
          <w:p>
            <w:pPr>
              <w:spacing w:after="100"/>
              <w:jc w:val="center"/>
            </w:pPr>
            <w:r>
              <w:rPr>
                <w:color w:val="475569"/>
                <w:sz w:val="18"/>
                <w:szCs w:val="18"/>
              </w:rPr>
              <w:t xml:space="preserve">Validation MAPE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16A34A"/>
                <w:sz w:val="30"/>
                <w:szCs w:val="30"/>
              </w:rPr>
              <w:t xml:space="preserve">$47.9K</w:t>
            </w:r>
          </w:p>
          <w:p>
            <w:pPr>
              <w:spacing w:after="100"/>
              <w:jc w:val="center"/>
            </w:pPr>
            <w:r>
              <w:rPr>
                <w:color w:val="475569"/>
                <w:sz w:val="18"/>
                <w:szCs w:val="18"/>
              </w:rPr>
              <w:t xml:space="preserve">Avg Monthly Sales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D97706"/>
                <w:sz w:val="30"/>
                <w:szCs w:val="30"/>
              </w:rPr>
              <w:t xml:space="preserve">+20.4%</w:t>
            </w:r>
          </w:p>
          <w:p>
            <w:pPr>
              <w:spacing w:after="100"/>
              <w:jc w:val="center"/>
            </w:pPr>
            <w:r>
              <w:rPr>
                <w:color w:val="475569"/>
                <w:sz w:val="18"/>
                <w:szCs w:val="18"/>
              </w:rPr>
              <w:t xml:space="preserve">2018 YoY Growth</w:t>
            </w:r>
          </w:p>
        </w:tc>
        <w:tc>
          <w:tcPr>
            <w:tcW w:type="pct" w:w="25%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7C3AED"/>
                <w:sz w:val="30"/>
                <w:szCs w:val="30"/>
              </w:rPr>
              <w:t xml:space="preserve">$354.4K</w:t>
            </w:r>
          </w:p>
          <w:p>
            <w:pPr>
              <w:spacing w:after="100"/>
              <w:jc w:val="center"/>
            </w:pPr>
            <w:r>
              <w:rPr>
                <w:color w:val="475569"/>
                <w:sz w:val="18"/>
                <w:szCs w:val="18"/>
              </w:rPr>
              <w:t xml:space="preserve">Next 6-Mo Forecast</w:t>
            </w:r>
          </w:p>
        </w:tc>
      </w:tr>
    </w:tbl>
    <w:p>
      <w:pPr>
        <w:pStyle w:val="Heading1"/>
        <w:spacing w:after="150" w:before="300"/>
      </w:pPr>
      <w:r>
        <w:t xml:space="preserve">1. Objective</w:t>
      </w:r>
    </w:p>
    <w:p>
      <w:pPr>
        <w:spacing w:after="160"/>
      </w:pPr>
      <w:r>
        <w:rPr>
          <w:sz w:val="22"/>
          <w:szCs w:val="22"/>
        </w:rPr>
        <w:t xml:space="preserve">This report uses four years of historical monthly revenue (Jan 2015 – Dec 2018) to forecast expected revenue for the next six months. The goal is to give finance and operations teams a data-driven baseline for budgeting, cash-flow planning, and target-setting.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Method: Holt-Winters Triple Exponential Smoothing (additive trend + additive seasonality, 12-month period)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Validation: model trained on the first 42 months, tested against the final 6 actual months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Tools used: Python (Statsmodels, Scikit-learn, Matplotlib)</w:t>
      </w:r>
    </w:p>
    <w:p>
      <w:pPr>
        <w:pStyle w:val="Heading1"/>
        <w:spacing w:after="150" w:before="300"/>
      </w:pPr>
      <w:r>
        <w:t xml:space="preserve">2. Seasonal Decomposition</w:t>
      </w:r>
    </w:p>
    <w:p>
      <w:pPr>
        <w:spacing w:after="160"/>
      </w:pPr>
      <w:r>
        <w:rPr>
          <w:sz w:val="22"/>
          <w:szCs w:val="22"/>
        </w:rPr>
        <w:t xml:space="preserve">Breaking the monthly revenue series into trend, seasonal, and residual components confirms a steady upward trend across the four years, with a repeating annual seasonal pattern (a strong Q4 peak, a Q1 trough) and no major structural anomalies in the residuals.</w:t>
      </w:r>
    </w:p>
    <w:p>
      <w:pPr>
        <w:spacing w:after="200"/>
        <w:jc w:val="center"/>
      </w:pPr>
      <w:r>
        <w:drawing>
          <wp:inline distT="0" distB="0" distL="0" distR="0">
            <wp:extent cx="53340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4748B"/>
          <w:sz w:val="18"/>
          <w:szCs w:val="18"/>
        </w:rPr>
        <w:t xml:space="preserve">Figure 1: Additive decomposition of monthly revenue into trend, seasonal, and residual components.</w:t>
      </w:r>
    </w:p>
    <w:p>
      <w:pPr>
        <w:pStyle w:val="Heading1"/>
        <w:spacing w:after="150" w:before="300"/>
      </w:pPr>
      <w:r>
        <w:t xml:space="preserve">3. Model Validation</w:t>
      </w:r>
    </w:p>
    <w:p>
      <w:pPr>
        <w:spacing w:after="160"/>
      </w:pPr>
      <w:r>
        <w:rPr>
          <w:sz w:val="22"/>
          <w:szCs w:val="22"/>
        </w:rPr>
        <w:t xml:space="preserve">Before forecasting the future, the model was tested on data it had not seen: trained on the first 3.5 years and evaluated against the actual final 6 months. The model achieved a Mean Absolute Percentage Error (MAPE) of 15.6%, correctly capturing the direction and rough magnitude of the year-end seasonal swing, which gives reasonable confidence in the forward-looking forecast.</w:t>
      </w:r>
    </w:p>
    <w:p>
      <w:pPr>
        <w:spacing w:after="200"/>
        <w:jc w:val="center"/>
      </w:pPr>
      <w:r>
        <w:drawing>
          <wp:inline distT="0" distB="0" distL="0" distR="0">
            <wp:extent cx="55245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4748B"/>
          <w:sz w:val="18"/>
          <w:szCs w:val="18"/>
        </w:rPr>
        <w:t xml:space="preserve">Figure 2: Validation forecast (red) vs. actual held-out revenue (green) for the last 6 known months.</w:t>
      </w:r>
    </w:p>
    <w:p>
      <w:pPr>
        <w:pStyle w:val="Heading1"/>
        <w:spacing w:after="150" w:before="300"/>
      </w:pPr>
      <w:r>
        <w:t xml:space="preserve">4. Six-Month Revenue Forecast</w:t>
      </w:r>
    </w:p>
    <w:p>
      <w:pPr>
        <w:spacing w:after="160"/>
      </w:pPr>
      <w:r>
        <w:rPr>
          <w:sz w:val="22"/>
          <w:szCs w:val="22"/>
        </w:rPr>
        <w:t xml:space="preserve">Using the full four-year history, the model projects the following monthly revenue for the first half of 2019. Total projected revenue for the period is approximately $354,400, consistent with the seasonal low typically seen in Q1 followed by a build into spring.</w:t>
      </w:r>
    </w:p>
    <w:p>
      <w:pPr>
        <w:spacing w:after="200"/>
        <w:jc w:val="center"/>
      </w:pPr>
      <w:r>
        <w:drawing>
          <wp:inline distT="0" distB="0" distL="0" distR="0">
            <wp:extent cx="55245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4748B"/>
          <w:sz w:val="18"/>
          <w:szCs w:val="18"/>
        </w:rPr>
        <w:t xml:space="preserve">Figure 3: Historical revenue with 6-month forward forecast and an approximate 95% confidence band.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E293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pct" w:w="50%"/>
            <w:shd w:fill="1E293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Forecasted Revenue</w:t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2019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$47,337</w:t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Feb 2019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$39,353</w:t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 2019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$76,412</w:t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2019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$60,367</w:t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2019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$65,417</w:t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 2019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$65,518</w:t>
            </w:r>
          </w:p>
        </w:tc>
      </w:tr>
    </w:tbl>
    <w:p>
      <w:pPr>
        <w:pStyle w:val="Heading1"/>
        <w:spacing w:after="150" w:before="300"/>
      </w:pPr>
      <w:r>
        <w:t xml:space="preserve">5. Key Insights &amp;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Expect a seasonal dip in January–February 2019, consistent with every prior year — plan cash reserves and discretionary spend accordingly rather than treating it as underperformance.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March 2019 is forecast to rebound sharply (~$76K), so inventory and staffing should ramp ahead of quarter-end rather than reactively.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2018 closed with 20.4% YoY growth; if that momentum continues beyond this conservative baseline forecast, actual 2019 H1 revenue could outperform the model — treat these figures as a floor, not a ceiling, for target-setting.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Re-run this model quarterly as new actuals arrive to narrow the confidence interval and catch any deviation from trend early.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02e52a793bf1053168755fc8c5cc0d4c71a5748.png"/><Relationship Id="rId8" Type="http://schemas.openxmlformats.org/officeDocument/2006/relationships/image" Target="media/f6763a08a45923907c7c8dece2a2dba1c2683204.png"/><Relationship Id="rId9" Type="http://schemas.openxmlformats.org/officeDocument/2006/relationships/image" Target="media/cc1c8957e380c47d563afc6b0e90349313c3a30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2026-07-10T14:46:35.315Z</dcterms:created>
  <dcterms:modified xsi:type="dcterms:W3CDTF">2026-07-10T14:46:35.315Z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