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verTitle"/>
      </w:pPr>
      <w:r>
        <w:t>Landmark Enterprise Knowledgebase</w:t>
        <w:br/>
        <w:t>Working Design Notes</w:t>
      </w:r>
    </w:p>
    <w:p>
      <w:pPr>
        <w:pStyle w:val="CoverSubtitle"/>
      </w:pPr>
      <w:r>
        <w:t>Problem framing, scope, architecture, and implementation plan</w:t>
      </w:r>
    </w:p>
    <w:p>
      <w:pPr>
        <w:spacing w:before="40" w:after="200"/>
        <w:pBdr>
          <w:bottom w:val="single" w:sz="18" w:space="1" w:color="1F4E79"/>
        </w:pBdr>
      </w:pPr>
    </w:p>
    <w:tbl>
      <w:tblPr>
        <w:tblStyle w:val="TableGrid"/>
        <w:tblW w:type="auto" w:w="0"/>
        <w:jc w:val="center"/>
        <w:tblLook w:firstColumn="1" w:firstRow="1" w:lastColumn="0" w:lastRow="0" w:noHBand="0" w:noVBand="1" w:val="04A0"/>
      </w:tblPr>
      <w:tblGrid>
        <w:gridCol w:w="4819"/>
        <w:gridCol w:w="4819"/>
      </w:tblGrid>
      <w:tr>
        <w:tc>
          <w:tcPr>
            <w:tcW w:type="dxa" w:w="2592"/>
            <w:shd w:val="clear" w:color="auto" w:fill="1F4E79"/>
          </w:tcPr>
          <w:p>
            <w:r/>
            <w:r>
              <w:rPr>
                <w:rFonts w:ascii="Calibri" w:hAnsi="Calibri"/>
                <w:b/>
                <w:color w:val="FFFFFF"/>
                <w:sz w:val="20"/>
              </w:rPr>
              <w:t>Field</w:t>
            </w:r>
          </w:p>
        </w:tc>
        <w:tc>
          <w:tcPr>
            <w:tcW w:type="dxa" w:w="6336"/>
            <w:shd w:val="clear" w:color="auto" w:fill="1F4E79"/>
          </w:tcPr>
          <w:p>
            <w:r/>
            <w:r>
              <w:rPr>
                <w:rFonts w:ascii="Calibri" w:hAnsi="Calibri"/>
                <w:b/>
                <w:color w:val="FFFFFF"/>
                <w:sz w:val="20"/>
              </w:rPr>
              <w:t>Detail</w:t>
            </w:r>
          </w:p>
        </w:tc>
      </w:tr>
      <w:tr>
        <w:tc>
          <w:tcPr>
            <w:tcW w:type="dxa" w:w="2592"/>
            <w:shd w:val="clear" w:color="auto" w:fill="F2F2F2"/>
          </w:tcPr>
          <w:p>
            <w:r/>
            <w:r>
              <w:rPr>
                <w:rFonts w:ascii="Calibri" w:hAnsi="Calibri"/>
                <w:b w:val="0"/>
                <w:sz w:val="19"/>
              </w:rPr>
              <w:t>Document purpose</w:t>
            </w:r>
          </w:p>
        </w:tc>
        <w:tc>
          <w:tcPr>
            <w:tcW w:type="dxa" w:w="6336"/>
            <w:shd w:val="clear" w:color="auto" w:fill="F2F2F2"/>
          </w:tcPr>
          <w:p>
            <w:r/>
            <w:r>
              <w:rPr>
                <w:rFonts w:ascii="Calibri" w:hAnsi="Calibri"/>
                <w:b w:val="0"/>
                <w:sz w:val="19"/>
              </w:rPr>
              <w:t>Working design reference for the team building the Landmark Enterprise Knowledgebase</w:t>
            </w:r>
          </w:p>
        </w:tc>
      </w:tr>
      <w:tr>
        <w:tc>
          <w:tcPr>
            <w:tcW w:type="dxa" w:w="2592"/>
            <w:shd w:val="clear" w:color="auto" w:fill="FFFFFF"/>
          </w:tcPr>
          <w:p>
            <w:r/>
            <w:r>
              <w:rPr>
                <w:rFonts w:ascii="Calibri" w:hAnsi="Calibri"/>
                <w:b w:val="0"/>
                <w:sz w:val="19"/>
              </w:rPr>
              <w:t>Audience</w:t>
            </w:r>
          </w:p>
        </w:tc>
        <w:tc>
          <w:tcPr>
            <w:tcW w:type="dxa" w:w="6336"/>
            <w:shd w:val="clear" w:color="auto" w:fill="FFFFFF"/>
          </w:tcPr>
          <w:p>
            <w:r/>
            <w:r>
              <w:rPr>
                <w:rFonts w:ascii="Calibri" w:hAnsi="Calibri"/>
                <w:b w:val="0"/>
                <w:sz w:val="19"/>
              </w:rPr>
              <w:t>Engineering and platform team</w:t>
            </w:r>
          </w:p>
        </w:tc>
      </w:tr>
      <w:tr>
        <w:tc>
          <w:tcPr>
            <w:tcW w:type="dxa" w:w="2592"/>
            <w:shd w:val="clear" w:color="auto" w:fill="F2F2F2"/>
          </w:tcPr>
          <w:p>
            <w:r/>
            <w:r>
              <w:rPr>
                <w:rFonts w:ascii="Calibri" w:hAnsi="Calibri"/>
                <w:b w:val="0"/>
                <w:sz w:val="19"/>
              </w:rPr>
              <w:t>Companion documents</w:t>
            </w:r>
          </w:p>
        </w:tc>
        <w:tc>
          <w:tcPr>
            <w:tcW w:type="dxa" w:w="6336"/>
            <w:shd w:val="clear" w:color="auto" w:fill="F2F2F2"/>
          </w:tcPr>
          <w:p>
            <w:r/>
            <w:r>
              <w:rPr>
                <w:rFonts w:ascii="Calibri" w:hAnsi="Calibri"/>
                <w:b w:val="0"/>
                <w:sz w:val="19"/>
              </w:rPr>
              <w:t>Leadership overview (HTML/PPTX) and the technical High-Level Design (HLD)</w:t>
            </w:r>
          </w:p>
        </w:tc>
      </w:tr>
    </w:tbl>
    <w:p>
      <w:pPr>
        <w:spacing w:after="80"/>
      </w:pPr>
    </w:p>
    <w:p>
      <w:pPr>
        <w:pStyle w:val="Heading1"/>
      </w:pPr>
      <w:r>
        <w:t>1. Problem Statement</w:t>
      </w:r>
    </w:p>
    <w:p>
      <w:pPr>
        <w:spacing w:before="40" w:after="200"/>
        <w:pBdr>
          <w:bottom w:val="single" w:sz="18" w:space="1" w:color="2E74B5"/>
        </w:pBdr>
      </w:pPr>
    </w:p>
    <w:p>
      <w:r>
        <w:t>Landmark's knowledge is scattered across SharePoint, team sites, mail conversations, and wikis, and there is no unified way to ask a question and get a trustworthy answer. This is an enterprise-wide problem, not one confined to a single business function — the same gap shows up in every part of the business.</w:t>
      </w:r>
    </w:p>
    <w:p>
      <w:r>
        <w:t>The problem breaks down into three stages, each building on the one before it:</w:t>
      </w:r>
    </w:p>
    <w:p>
      <w:pPr>
        <w:pStyle w:val="ListNumber"/>
        <w:spacing w:after="80"/>
      </w:pPr>
      <w:r>
        <w:t>How do we collect all of our data and turn it into connected, contextual knowledge?</w:t>
      </w:r>
    </w:p>
    <w:p>
      <w:pPr>
        <w:pStyle w:val="ListNumber"/>
        <w:spacing w:after="80"/>
      </w:pPr>
      <w:r>
        <w:t>How do we then surface that knowledge to the right people, at the right level of detail?</w:t>
      </w:r>
    </w:p>
    <w:p>
      <w:pPr>
        <w:pStyle w:val="ListNumber"/>
        <w:spacing w:after="80"/>
      </w:pPr>
      <w:r>
        <w:t>How do we enable agents to take action on that knowledge?</w:t>
      </w:r>
    </w:p>
    <w:p>
      <w:r>
        <w:t>Collection is treated as a substantial problem in its own right, ahead of surfacing or enablement. These three stages map to a simple maturity journey: V0 (capture), V1 (surface to the right people), V2 (agents take action).</w:t>
      </w:r>
    </w:p>
    <w:p>
      <w:pPr>
        <w:pStyle w:val="Heading1"/>
      </w:pPr>
      <w:r>
        <w:t>2. What We're Building</w:t>
      </w:r>
    </w:p>
    <w:p>
      <w:pPr>
        <w:spacing w:before="40" w:after="200"/>
        <w:pBdr>
          <w:bottom w:val="single" w:sz="18" w:space="1" w:color="2E74B5"/>
        </w:pBdr>
      </w:pPr>
    </w:p>
    <w:p>
      <w:r>
        <w:t>A knowledgebase platform that any AI agent, application, or employee can query to understand the enterprise. Three design principles anchor it:</w:t>
      </w:r>
    </w:p>
    <w:p>
      <w:pPr>
        <w:pStyle w:val="ListNumber"/>
        <w:spacing w:after="80"/>
      </w:pPr>
      <w:r>
        <w:t>Authorization is bound before knowledge is retrieved — a pre-authorization filter runs before any content is published to the LLM, not a retrieve-then-hide model.</w:t>
      </w:r>
    </w:p>
    <w:p>
      <w:pPr>
        <w:pStyle w:val="ListNumber"/>
        <w:spacing w:after="80"/>
      </w:pPr>
      <w:r>
        <w:t>Answers are grounded in authorized content only — never a hallucinated or fine-tuned answer.</w:t>
      </w:r>
    </w:p>
    <w:p>
      <w:pPr>
        <w:pStyle w:val="ListNumber"/>
        <w:spacing w:after="80"/>
      </w:pPr>
      <w:r>
        <w:t>Actions are governed — once agents begin taking action (V2), they act only through a controlled, permissioned layer.</w:t>
      </w:r>
    </w:p>
    <w:p>
      <w:pPr>
        <w:pStyle w:val="Heading2"/>
      </w:pPr>
      <w:r>
        <w:t>2.1 Knowledge base vs. context layer</w:t>
      </w:r>
    </w:p>
    <w:tbl>
      <w:tblPr>
        <w:tblStyle w:val="TableGrid"/>
        <w:tblW w:type="auto" w:w="0"/>
        <w:jc w:val="center"/>
        <w:tblLook w:firstColumn="1" w:firstRow="1" w:lastColumn="0" w:lastRow="0" w:noHBand="0" w:noVBand="1" w:val="04A0"/>
      </w:tblPr>
      <w:tblGrid>
        <w:gridCol w:w="4819"/>
        <w:gridCol w:w="4819"/>
      </w:tblGrid>
      <w:tr>
        <w:tc>
          <w:tcPr>
            <w:tcW w:type="dxa" w:w="4464"/>
            <w:shd w:val="clear" w:color="auto" w:fill="1F4E79"/>
          </w:tcPr>
          <w:p>
            <w:r/>
            <w:r>
              <w:rPr>
                <w:rFonts w:ascii="Calibri" w:hAnsi="Calibri"/>
                <w:b/>
                <w:color w:val="FFFFFF"/>
                <w:sz w:val="20"/>
              </w:rPr>
              <w:t>A plain knowledge base</w:t>
            </w:r>
          </w:p>
        </w:tc>
        <w:tc>
          <w:tcPr>
            <w:tcW w:type="dxa" w:w="4464"/>
            <w:shd w:val="clear" w:color="auto" w:fill="1F4E79"/>
          </w:tcPr>
          <w:p>
            <w:r/>
            <w:r>
              <w:rPr>
                <w:rFonts w:ascii="Calibri" w:hAnsi="Calibri"/>
                <w:b/>
                <w:color w:val="FFFFFF"/>
                <w:sz w:val="20"/>
              </w:rPr>
              <w:t>This platform (context layer)</w:t>
            </w:r>
          </w:p>
        </w:tc>
      </w:tr>
      <w:tr>
        <w:tc>
          <w:tcPr>
            <w:tcW w:type="dxa" w:w="4464"/>
            <w:shd w:val="clear" w:color="auto" w:fill="F2F2F2"/>
          </w:tcPr>
          <w:p>
            <w:r/>
            <w:r>
              <w:rPr>
                <w:rFonts w:ascii="Calibri" w:hAnsi="Calibri"/>
                <w:b w:val="0"/>
                <w:sz w:val="19"/>
              </w:rPr>
              <w:t>Just a store of pages for people to consult</w:t>
            </w:r>
          </w:p>
        </w:tc>
        <w:tc>
          <w:tcPr>
            <w:tcW w:type="dxa" w:w="4464"/>
            <w:shd w:val="clear" w:color="auto" w:fill="F2F2F2"/>
          </w:tcPr>
          <w:p>
            <w:r/>
            <w:r>
              <w:rPr>
                <w:rFonts w:ascii="Calibri" w:hAnsi="Calibri"/>
                <w:b w:val="0"/>
                <w:sz w:val="19"/>
              </w:rPr>
              <w:t>Routes knowledge to the relevant, approved context automatically</w:t>
            </w:r>
          </w:p>
        </w:tc>
      </w:tr>
      <w:tr>
        <w:tc>
          <w:tcPr>
            <w:tcW w:type="dxa" w:w="4464"/>
            <w:shd w:val="clear" w:color="auto" w:fill="FFFFFF"/>
          </w:tcPr>
          <w:p>
            <w:r/>
            <w:r>
              <w:rPr>
                <w:rFonts w:ascii="Calibri" w:hAnsi="Calibri"/>
                <w:b w:val="0"/>
                <w:sz w:val="19"/>
              </w:rPr>
              <w:t>No workflow, no freshness/ownership tracking</w:t>
            </w:r>
          </w:p>
        </w:tc>
        <w:tc>
          <w:tcPr>
            <w:tcW w:type="dxa" w:w="4464"/>
            <w:shd w:val="clear" w:color="auto" w:fill="FFFFFF"/>
          </w:tcPr>
          <w:p>
            <w:r/>
            <w:r>
              <w:rPr>
                <w:rFonts w:ascii="Calibri" w:hAnsi="Calibri"/>
                <w:b w:val="0"/>
                <w:sz w:val="19"/>
              </w:rPr>
              <w:t>Tracks document authority, owner, freshness, access, and permitted uses</w:t>
            </w:r>
          </w:p>
        </w:tc>
      </w:tr>
      <w:tr>
        <w:tc>
          <w:tcPr>
            <w:tcW w:type="dxa" w:w="4464"/>
            <w:shd w:val="clear" w:color="auto" w:fill="F2F2F2"/>
          </w:tcPr>
          <w:p>
            <w:r/>
            <w:r>
              <w:rPr>
                <w:rFonts w:ascii="Calibri" w:hAnsi="Calibri"/>
                <w:b w:val="0"/>
                <w:sz w:val="19"/>
              </w:rPr>
              <w:t>Static repository</w:t>
            </w:r>
          </w:p>
        </w:tc>
        <w:tc>
          <w:tcPr>
            <w:tcW w:type="dxa" w:w="4464"/>
            <w:shd w:val="clear" w:color="auto" w:fill="F2F2F2"/>
          </w:tcPr>
          <w:p>
            <w:r/>
            <w:r>
              <w:rPr>
                <w:rFonts w:ascii="Calibri" w:hAnsi="Calibri"/>
                <w:b w:val="0"/>
                <w:sz w:val="19"/>
              </w:rPr>
              <w:t>Produces a reviewable artifact with evidence and an owner, not just raw retrieval</w:t>
            </w:r>
          </w:p>
        </w:tc>
      </w:tr>
    </w:tbl>
    <w:p>
      <w:pPr>
        <w:spacing w:after="80"/>
      </w:pPr>
    </w:p>
    <w:p>
      <w:pPr>
        <w:pStyle w:val="Heading1"/>
      </w:pPr>
      <w:r>
        <w:t>3. Operating Layers</w:t>
      </w:r>
    </w:p>
    <w:p>
      <w:pPr>
        <w:spacing w:before="40" w:after="200"/>
        <w:pBdr>
          <w:bottom w:val="single" w:sz="18" w:space="1" w:color="2E74B5"/>
        </w:pBdr>
      </w:pPr>
    </w:p>
    <w:p>
      <w:r>
        <w:t>The platform is organized into the following layers, with Capture as the initial build focus:</w:t>
      </w:r>
    </w:p>
    <w:p>
      <w:pPr>
        <w:pStyle w:val="ListBullet"/>
        <w:spacing w:after="80"/>
      </w:pPr>
      <w:r>
        <w:t>Foundation — Identity &amp; Authorization, applied throughout every layer</w:t>
      </w:r>
    </w:p>
    <w:p>
      <w:pPr>
        <w:pStyle w:val="ListBullet"/>
        <w:spacing w:after="80"/>
      </w:pPr>
      <w:r>
        <w:t>Capture</w:t>
      </w:r>
    </w:p>
    <w:p>
      <w:pPr>
        <w:pStyle w:val="ListBullet"/>
        <w:spacing w:after="80"/>
      </w:pPr>
      <w:r>
        <w:t>Retrieval</w:t>
      </w:r>
    </w:p>
    <w:p>
      <w:pPr>
        <w:pStyle w:val="ListBullet"/>
        <w:spacing w:after="80"/>
      </w:pPr>
      <w:r>
        <w:t>Source of Truth</w:t>
      </w:r>
    </w:p>
    <w:p>
      <w:pPr>
        <w:pStyle w:val="ListBullet"/>
        <w:spacing w:after="80"/>
      </w:pPr>
      <w:r>
        <w:t>Answer generation</w:t>
      </w:r>
    </w:p>
    <w:p>
      <w:pPr>
        <w:pStyle w:val="ListBullet"/>
        <w:spacing w:after="80"/>
      </w:pPr>
      <w:r>
        <w:t>Action — agents taking autonomous action (V2, later)</w:t>
      </w:r>
    </w:p>
    <w:p>
      <w:pPr>
        <w:pStyle w:val="Heading1"/>
      </w:pPr>
      <w:r>
        <w:t>4. V0 — Capture</w:t>
      </w:r>
    </w:p>
    <w:p>
      <w:pPr>
        <w:spacing w:before="40" w:after="200"/>
        <w:pBdr>
          <w:bottom w:val="single" w:sz="18" w:space="1" w:color="2E74B5"/>
        </w:pBdr>
      </w:pPr>
    </w:p>
    <w:p>
      <w:pPr>
        <w:pStyle w:val="Heading2"/>
      </w:pPr>
      <w:r>
        <w:t>4.1 Capture philosophy</w:t>
      </w:r>
    </w:p>
    <w:p>
      <w:r>
        <w:t>The priority is automated, low-friction ingestion — the platform should not depend on people manually uploading and maintaining documents. Data flows in automatically first; what gets approved, indexed, or displayed is controlled afterward. Capture ingests broadly and classifies and stores what it captures; access filtering by classification happens at retrieval time, not at capture time. The majority of content in a designated source location is allowed through; filtration and guardrails are layered on afterward to remove anything that shouldn't have been ingested.</w:t>
      </w:r>
    </w:p>
    <w:p>
      <w:pPr>
        <w:pStyle w:val="Heading2"/>
      </w:pPr>
      <w:r>
        <w:t>4.2 Two journeys</w:t>
      </w:r>
    </w:p>
    <w:p>
      <w:pPr>
        <w:pStyle w:val="ListNumber"/>
        <w:spacing w:after="80"/>
      </w:pPr>
      <w:r>
        <w:t>Upload / ingestion — a document or content item is captured into the knowledge base.</w:t>
      </w:r>
    </w:p>
    <w:p>
      <w:pPr>
        <w:pStyle w:val="ListNumber"/>
        <w:spacing w:after="80"/>
      </w:pPr>
      <w:r>
        <w:t>Retrieval — a user or AI agent asks a question and the system retrieves an answer.</w:t>
      </w:r>
    </w:p>
    <w:p>
      <w:pPr>
        <w:pStyle w:val="Heading2"/>
      </w:pPr>
      <w:r>
        <w:t>4.3 Initial scope: sources and domain</w:t>
      </w:r>
    </w:p>
    <w:p>
      <w:r>
        <w:t>The initial build is scoped to the R&amp;D domain, using three sources, with manual upload as a fallback path:</w:t>
      </w:r>
    </w:p>
    <w:tbl>
      <w:tblPr>
        <w:tblStyle w:val="TableGrid"/>
        <w:tblW w:type="auto" w:w="0"/>
        <w:jc w:val="center"/>
        <w:tblLook w:firstColumn="1" w:firstRow="1" w:lastColumn="0" w:lastRow="0" w:noHBand="0" w:noVBand="1" w:val="04A0"/>
      </w:tblPr>
      <w:tblGrid>
        <w:gridCol w:w="4819"/>
        <w:gridCol w:w="4819"/>
      </w:tblGrid>
      <w:tr>
        <w:tc>
          <w:tcPr>
            <w:tcW w:type="dxa" w:w="2448"/>
            <w:shd w:val="clear" w:color="auto" w:fill="1F4E79"/>
          </w:tcPr>
          <w:p>
            <w:r/>
            <w:r>
              <w:rPr>
                <w:rFonts w:ascii="Calibri" w:hAnsi="Calibri"/>
                <w:b/>
                <w:color w:val="FFFFFF"/>
                <w:sz w:val="20"/>
              </w:rPr>
              <w:t>Source</w:t>
            </w:r>
          </w:p>
        </w:tc>
        <w:tc>
          <w:tcPr>
            <w:tcW w:type="dxa" w:w="6624"/>
            <w:shd w:val="clear" w:color="auto" w:fill="1F4E79"/>
          </w:tcPr>
          <w:p>
            <w:r/>
            <w:r>
              <w:rPr>
                <w:rFonts w:ascii="Calibri" w:hAnsi="Calibri"/>
                <w:b/>
                <w:color w:val="FFFFFF"/>
                <w:sz w:val="20"/>
              </w:rPr>
              <w:t>Detail</w:t>
            </w:r>
          </w:p>
        </w:tc>
      </w:tr>
      <w:tr>
        <w:tc>
          <w:tcPr>
            <w:tcW w:type="dxa" w:w="2448"/>
            <w:shd w:val="clear" w:color="auto" w:fill="F2F2F2"/>
          </w:tcPr>
          <w:p>
            <w:r/>
            <w:r>
              <w:rPr>
                <w:rFonts w:ascii="Calibri" w:hAnsi="Calibri"/>
                <w:b w:val="0"/>
                <w:sz w:val="19"/>
              </w:rPr>
              <w:t>SharePoint</w:t>
            </w:r>
          </w:p>
        </w:tc>
        <w:tc>
          <w:tcPr>
            <w:tcW w:type="dxa" w:w="6624"/>
            <w:shd w:val="clear" w:color="auto" w:fill="F2F2F2"/>
          </w:tcPr>
          <w:p>
            <w:r/>
            <w:r>
              <w:rPr>
                <w:rFonts w:ascii="Calibri" w:hAnsi="Calibri"/>
                <w:b w:val="0"/>
                <w:sz w:val="19"/>
              </w:rPr>
              <w:t>The primary initial document repository. A business function provides a SharePoint location; a scheduled connector (via Microsoft Graph API) pulls new or updated documents automatically on a recurring schedule.</w:t>
            </w:r>
          </w:p>
        </w:tc>
      </w:tr>
      <w:tr>
        <w:tc>
          <w:tcPr>
            <w:tcW w:type="dxa" w:w="2448"/>
            <w:shd w:val="clear" w:color="auto" w:fill="FFFFFF"/>
          </w:tcPr>
          <w:p>
            <w:r/>
            <w:r>
              <w:rPr>
                <w:rFonts w:ascii="Calibri" w:hAnsi="Calibri"/>
                <w:b w:val="0"/>
                <w:sz w:val="19"/>
              </w:rPr>
              <w:t>Azure DevOps</w:t>
            </w:r>
          </w:p>
        </w:tc>
        <w:tc>
          <w:tcPr>
            <w:tcW w:type="dxa" w:w="6624"/>
            <w:shd w:val="clear" w:color="auto" w:fill="FFFFFF"/>
          </w:tcPr>
          <w:p>
            <w:r/>
            <w:r>
              <w:rPr>
                <w:rFonts w:ascii="Calibri" w:hAnsi="Calibri"/>
                <w:b w:val="0"/>
                <w:sz w:val="19"/>
              </w:rPr>
              <w:t>Wikis and work items, pulled through the same connector-style approach.</w:t>
            </w:r>
          </w:p>
        </w:tc>
      </w:tr>
      <w:tr>
        <w:tc>
          <w:tcPr>
            <w:tcW w:type="dxa" w:w="2448"/>
            <w:shd w:val="clear" w:color="auto" w:fill="F2F2F2"/>
          </w:tcPr>
          <w:p>
            <w:r/>
            <w:r>
              <w:rPr>
                <w:rFonts w:ascii="Calibri" w:hAnsi="Calibri"/>
                <w:b w:val="0"/>
                <w:sz w:val="19"/>
              </w:rPr>
              <w:t>Recorded Teams meetings / transcripts</w:t>
            </w:r>
          </w:p>
        </w:tc>
        <w:tc>
          <w:tcPr>
            <w:tcW w:type="dxa" w:w="6624"/>
            <w:shd w:val="clear" w:color="auto" w:fill="F2F2F2"/>
          </w:tcPr>
          <w:p>
            <w:r/>
            <w:r>
              <w:rPr>
                <w:rFonts w:ascii="Calibri" w:hAnsi="Calibri"/>
                <w:b w:val="0"/>
                <w:sz w:val="19"/>
              </w:rPr>
              <w:t>A recorded meeting is associated with a business function based on whether the attendee(s) belong to that function; recordings (internal or external) for that function's people are loaded in as knowledge for that domain.</w:t>
            </w:r>
          </w:p>
        </w:tc>
      </w:tr>
      <w:tr>
        <w:tc>
          <w:tcPr>
            <w:tcW w:type="dxa" w:w="2448"/>
            <w:shd w:val="clear" w:color="auto" w:fill="FFFFFF"/>
          </w:tcPr>
          <w:p>
            <w:r/>
            <w:r>
              <w:rPr>
                <w:rFonts w:ascii="Calibri" w:hAnsi="Calibri"/>
                <w:b w:val="0"/>
                <w:sz w:val="19"/>
              </w:rPr>
              <w:t>Manual upload</w:t>
            </w:r>
          </w:p>
        </w:tc>
        <w:tc>
          <w:tcPr>
            <w:tcW w:type="dxa" w:w="6624"/>
            <w:shd w:val="clear" w:color="auto" w:fill="FFFFFF"/>
          </w:tcPr>
          <w:p>
            <w:r/>
            <w:r>
              <w:rPr>
                <w:rFonts w:ascii="Calibri" w:hAnsi="Calibri"/>
                <w:b w:val="0"/>
                <w:sz w:val="19"/>
              </w:rPr>
              <w:t>A fallback path for content not covered by an automatic connector.</w:t>
            </w:r>
          </w:p>
        </w:tc>
      </w:tr>
    </w:tbl>
    <w:p>
      <w:pPr>
        <w:spacing w:after="80"/>
      </w:pPr>
    </w:p>
    <w:p>
      <w:pPr>
        <w:pStyle w:val="SmallNote"/>
      </w:pPr>
      <w:r>
        <w:t>Attributing a meeting to a single function becomes ambiguous when attendance spans multiple functions — this needs a documented rule (e.g. primary organizer's function, or multi-tag) before it can be presented as a settled mechanism.</w:t>
      </w:r>
    </w:p>
    <w:p>
      <w:r>
        <w:t>Ticketing systems (Freshdesk, Freshchat, ManageEngine) are a candidate future data source, once connectors can be built for them — a later-phase expansion beyond the initial scope.</w:t>
      </w:r>
    </w:p>
    <w:p>
      <w:pPr>
        <w:pStyle w:val="Heading2"/>
      </w:pPr>
      <w:r>
        <w:t>4.4 Scope exclusions</w:t>
      </w:r>
    </w:p>
    <w:p>
      <w:pPr>
        <w:pStyle w:val="ListBullet"/>
        <w:spacing w:after="80"/>
      </w:pPr>
      <w:r>
        <w:t>Videos in SharePoint are excluded for the initial version — document formats (Word, PDF, Excel, PowerPoint) are the initial focus for extraction.</w:t>
      </w:r>
    </w:p>
    <w:p>
      <w:pPr>
        <w:pStyle w:val="ListBullet"/>
        <w:spacing w:after="80"/>
      </w:pPr>
      <w:r>
        <w:t>Outlook shared mailboxes are excluded.</w:t>
      </w:r>
    </w:p>
    <w:p>
      <w:pPr>
        <w:pStyle w:val="ListBullet"/>
        <w:spacing w:after="80"/>
      </w:pPr>
      <w:r>
        <w:t>ERP, CRM, and other business-record systems are excluded.</w:t>
      </w:r>
    </w:p>
    <w:p>
      <w:pPr>
        <w:pStyle w:val="ListBullet"/>
        <w:spacing w:after="80"/>
      </w:pPr>
      <w:r>
        <w:t>A feedback/human-correction layer is out of scope for this phase — only collection is in scope now.</w:t>
      </w:r>
    </w:p>
    <w:p>
      <w:pPr>
        <w:pStyle w:val="Heading2"/>
      </w:pPr>
      <w:r>
        <w:t>4.5 Format and extraction detail</w:t>
      </w:r>
    </w:p>
    <w:p>
      <w:r>
        <w:t>A source list alone (“SharePoint, Teams, wikis”) is not sufficient — each source needs an explicit format and extraction methodology defined before implementation:</w:t>
      </w:r>
    </w:p>
    <w:p>
      <w:pPr>
        <w:pStyle w:val="ListBullet"/>
        <w:spacing w:after="80"/>
      </w:pPr>
      <w:r>
        <w:t>What formats does this source actually produce? (SharePoint: Word, PDF, Excel, PowerPoint primarily.)</w:t>
      </w:r>
    </w:p>
    <w:p>
      <w:pPr>
        <w:pStyle w:val="ListBullet"/>
        <w:spacing w:after="80"/>
      </w:pPr>
      <w:r>
        <w:t>What is the extraction methodology for that format?</w:t>
      </w:r>
    </w:p>
    <w:p>
      <w:pPr>
        <w:pStyle w:val="ListBullet"/>
        <w:spacing w:after="80"/>
      </w:pPr>
      <w:r>
        <w:t>Where does content land first, and in what structure?</w:t>
      </w:r>
    </w:p>
    <w:p>
      <w:pPr>
        <w:pStyle w:val="Heading2"/>
      </w:pPr>
      <w:r>
        <w:t>4.6 Storage design</w:t>
      </w:r>
    </w:p>
    <w:p>
      <w:r>
        <w:t>Ingestion follows a two-phase model: raw content lands first, and only new or changed content is processed further.</w:t>
      </w:r>
    </w:p>
    <w:p>
      <w:pPr>
        <w:pStyle w:val="ListNumber"/>
        <w:spacing w:after="80"/>
      </w:pPr>
      <w:r>
        <w:t>The raw file lands in Azure Blob Storage immediately, unmodified, as the original file. Objects are partitioned by connector/source and by content type, so each source's content is isolated and locatable within the store.</w:t>
      </w:r>
    </w:p>
    <w:p>
      <w:pPr>
        <w:pStyle w:val="ListNumber"/>
        <w:spacing w:after="80"/>
      </w:pPr>
      <w:r>
        <w:t>A content hash is generated and compared against the existing record to determine whether this is new content or an update. If the hash is unchanged, no further processing happens.</w:t>
      </w:r>
    </w:p>
    <w:p>
      <w:pPr>
        <w:pStyle w:val="ListNumber"/>
        <w:spacing w:after="80"/>
      </w:pPr>
      <w:r>
        <w:t>Only new or changed content proceeds to parsing, chunking, and embedding.</w:t>
      </w:r>
    </w:p>
    <w:p>
      <w:pPr>
        <w:pStyle w:val="SmallNote"/>
      </w:pPr>
      <w:r>
        <w:t>Indicative sizing: roughly 20–30 GB on average per business function at initial scale, expected to grow beyond that as adoption increases — a useful input for infrastructure sizing, not a firm capacity commitment.</w:t>
      </w:r>
    </w:p>
    <w:p>
      <w:pPr>
        <w:pStyle w:val="Heading2"/>
      </w:pPr>
      <w:r>
        <w:t>4.7 Chunking strategy</w:t>
      </w:r>
    </w:p>
    <w:p>
      <w:r>
        <w:t>Chunking splits a document into passages small enough to embed and retrieve accurately. The recommended default is semantic chunking — splitting at topic/meaning boundaries rather than fixed size — for long, mixed-topic content such as design docs, wikis, and meeting transcripts. Fixed-size chunking remains acceptable for short, single-topic documents (e.g. a focused SOP) where the added complexity of semantic chunking isn't warranted.</w:t>
      </w:r>
    </w:p>
    <w:p>
      <w:pPr>
        <w:pStyle w:val="ListBullet"/>
        <w:spacing w:after="80"/>
      </w:pPr>
      <w:r>
        <w:t>Per-chunk metadata is captured: chunk ID, source document ID, and other descriptors needed for retrieval and graph linkage.</w:t>
      </w:r>
    </w:p>
    <w:p>
      <w:pPr>
        <w:pStyle w:val="ListBullet"/>
        <w:spacing w:after="80"/>
      </w:pPr>
      <w:r>
        <w:t>Meeting transcripts chunk by topic/decision boundary rather than fixed time windows, so a chunk maps to one coherent discussion point.</w:t>
      </w:r>
    </w:p>
    <w:p>
      <w:pPr>
        <w:pStyle w:val="Heading2"/>
      </w:pPr>
      <w:r>
        <w:t>4.8 Storage destinations</w:t>
      </w:r>
    </w:p>
    <w:tbl>
      <w:tblPr>
        <w:tblStyle w:val="TableGrid"/>
        <w:tblW w:type="auto" w:w="0"/>
        <w:jc w:val="center"/>
        <w:tblLook w:firstColumn="1" w:firstRow="1" w:lastColumn="0" w:lastRow="0" w:noHBand="0" w:noVBand="1" w:val="04A0"/>
      </w:tblPr>
      <w:tblGrid>
        <w:gridCol w:w="4819"/>
        <w:gridCol w:w="4819"/>
      </w:tblGrid>
      <w:tr>
        <w:tc>
          <w:tcPr>
            <w:tcW w:type="dxa" w:w="2592"/>
            <w:shd w:val="clear" w:color="auto" w:fill="1F4E79"/>
          </w:tcPr>
          <w:p>
            <w:r/>
            <w:r>
              <w:rPr>
                <w:rFonts w:ascii="Calibri" w:hAnsi="Calibri"/>
                <w:b/>
                <w:color w:val="FFFFFF"/>
                <w:sz w:val="20"/>
              </w:rPr>
              <w:t>Store</w:t>
            </w:r>
          </w:p>
        </w:tc>
        <w:tc>
          <w:tcPr>
            <w:tcW w:type="dxa" w:w="6624"/>
            <w:shd w:val="clear" w:color="auto" w:fill="1F4E79"/>
          </w:tcPr>
          <w:p>
            <w:r/>
            <w:r>
              <w:rPr>
                <w:rFonts w:ascii="Calibri" w:hAnsi="Calibri"/>
                <w:b/>
                <w:color w:val="FFFFFF"/>
                <w:sz w:val="20"/>
              </w:rPr>
              <w:t>Purpose</w:t>
            </w:r>
          </w:p>
        </w:tc>
      </w:tr>
      <w:tr>
        <w:tc>
          <w:tcPr>
            <w:tcW w:type="dxa" w:w="2592"/>
            <w:shd w:val="clear" w:color="auto" w:fill="F2F2F2"/>
          </w:tcPr>
          <w:p>
            <w:r/>
            <w:r>
              <w:rPr>
                <w:rFonts w:ascii="Calibri" w:hAnsi="Calibri"/>
                <w:b w:val="0"/>
                <w:sz w:val="19"/>
              </w:rPr>
              <w:t>Azure Blob Storage</w:t>
            </w:r>
          </w:p>
        </w:tc>
        <w:tc>
          <w:tcPr>
            <w:tcW w:type="dxa" w:w="6624"/>
            <w:shd w:val="clear" w:color="auto" w:fill="F2F2F2"/>
          </w:tcPr>
          <w:p>
            <w:r/>
            <w:r>
              <w:rPr>
                <w:rFonts w:ascii="Calibri" w:hAnsi="Calibri"/>
                <w:b w:val="0"/>
                <w:sz w:val="19"/>
              </w:rPr>
              <w:t>Raw original file, landed first, unmodified</w:t>
            </w:r>
          </w:p>
        </w:tc>
      </w:tr>
      <w:tr>
        <w:tc>
          <w:tcPr>
            <w:tcW w:type="dxa" w:w="2592"/>
            <w:shd w:val="clear" w:color="auto" w:fill="FFFFFF"/>
          </w:tcPr>
          <w:p>
            <w:r/>
            <w:r>
              <w:rPr>
                <w:rFonts w:ascii="Calibri" w:hAnsi="Calibri"/>
                <w:b w:val="0"/>
                <w:sz w:val="19"/>
              </w:rPr>
              <w:t>PostgreSQL</w:t>
            </w:r>
          </w:p>
        </w:tc>
        <w:tc>
          <w:tcPr>
            <w:tcW w:type="dxa" w:w="6624"/>
            <w:shd w:val="clear" w:color="auto" w:fill="FFFFFF"/>
          </w:tcPr>
          <w:p>
            <w:r/>
            <w:r>
              <w:rPr>
                <w:rFonts w:ascii="Calibri" w:hAnsi="Calibri"/>
                <w:b w:val="0"/>
                <w:sz w:val="19"/>
              </w:rPr>
              <w:t>Metadata store — chunk ID, source document, tags, and other descriptive fields</w:t>
            </w:r>
          </w:p>
        </w:tc>
      </w:tr>
      <w:tr>
        <w:tc>
          <w:tcPr>
            <w:tcW w:type="dxa" w:w="2592"/>
            <w:shd w:val="clear" w:color="auto" w:fill="F2F2F2"/>
          </w:tcPr>
          <w:p>
            <w:r/>
            <w:r>
              <w:rPr>
                <w:rFonts w:ascii="Calibri" w:hAnsi="Calibri"/>
                <w:b w:val="0"/>
                <w:sz w:val="19"/>
              </w:rPr>
              <w:t>pgvector</w:t>
            </w:r>
          </w:p>
        </w:tc>
        <w:tc>
          <w:tcPr>
            <w:tcW w:type="dxa" w:w="6624"/>
            <w:shd w:val="clear" w:color="auto" w:fill="F2F2F2"/>
          </w:tcPr>
          <w:p>
            <w:r/>
            <w:r>
              <w:rPr>
                <w:rFonts w:ascii="Calibri" w:hAnsi="Calibri"/>
                <w:b w:val="0"/>
                <w:sz w:val="19"/>
              </w:rPr>
              <w:t>Vector/embedding store for semantic (meaning-based) search</w:t>
            </w:r>
          </w:p>
        </w:tc>
      </w:tr>
      <w:tr>
        <w:tc>
          <w:tcPr>
            <w:tcW w:type="dxa" w:w="2592"/>
            <w:shd w:val="clear" w:color="auto" w:fill="FFFFFF"/>
          </w:tcPr>
          <w:p>
            <w:r/>
            <w:r>
              <w:rPr>
                <w:rFonts w:ascii="Calibri" w:hAnsi="Calibri"/>
                <w:b w:val="0"/>
                <w:sz w:val="19"/>
              </w:rPr>
              <w:t>Postgres FTS</w:t>
            </w:r>
          </w:p>
        </w:tc>
        <w:tc>
          <w:tcPr>
            <w:tcW w:type="dxa" w:w="6624"/>
            <w:shd w:val="clear" w:color="auto" w:fill="FFFFFF"/>
          </w:tcPr>
          <w:p>
            <w:r/>
            <w:r>
              <w:rPr>
                <w:rFonts w:ascii="Calibri" w:hAnsi="Calibri"/>
                <w:b w:val="0"/>
                <w:sz w:val="19"/>
              </w:rPr>
              <w:t>Keyword search store (BM25-style ranking) — rewards exact/rare keyword matches over common words</w:t>
            </w:r>
          </w:p>
        </w:tc>
      </w:tr>
      <w:tr>
        <w:tc>
          <w:tcPr>
            <w:tcW w:type="dxa" w:w="2592"/>
            <w:shd w:val="clear" w:color="auto" w:fill="F2F2F2"/>
          </w:tcPr>
          <w:p>
            <w:r/>
            <w:r>
              <w:rPr>
                <w:rFonts w:ascii="Calibri" w:hAnsi="Calibri"/>
                <w:b w:val="0"/>
                <w:sz w:val="19"/>
              </w:rPr>
              <w:t>Apache AGE</w:t>
            </w:r>
          </w:p>
        </w:tc>
        <w:tc>
          <w:tcPr>
            <w:tcW w:type="dxa" w:w="6624"/>
            <w:shd w:val="clear" w:color="auto" w:fill="F2F2F2"/>
          </w:tcPr>
          <w:p>
            <w:r/>
            <w:r>
              <w:rPr>
                <w:rFonts w:ascii="Calibri" w:hAnsi="Calibri"/>
                <w:b w:val="0"/>
                <w:sz w:val="19"/>
              </w:rPr>
              <w:t>Graph store — the knowledge graph connecting chunks, documents, and topics to each other</w:t>
            </w:r>
          </w:p>
        </w:tc>
      </w:tr>
      <w:tr>
        <w:tc>
          <w:tcPr>
            <w:tcW w:type="dxa" w:w="2592"/>
            <w:shd w:val="clear" w:color="auto" w:fill="FFFFFF"/>
          </w:tcPr>
          <w:p>
            <w:r/>
            <w:r>
              <w:rPr>
                <w:rFonts w:ascii="Calibri" w:hAnsi="Calibri"/>
                <w:b w:val="0"/>
                <w:sz w:val="19"/>
              </w:rPr>
              <w:t>PostgreSQL (separate schema)</w:t>
            </w:r>
          </w:p>
        </w:tc>
        <w:tc>
          <w:tcPr>
            <w:tcW w:type="dxa" w:w="6624"/>
            <w:shd w:val="clear" w:color="auto" w:fill="FFFFFF"/>
          </w:tcPr>
          <w:p>
            <w:r/>
            <w:r>
              <w:rPr>
                <w:rFonts w:ascii="Calibri" w:hAnsi="Calibri"/>
                <w:b w:val="0"/>
                <w:sz w:val="19"/>
              </w:rPr>
              <w:t>Audit store — same underlying engine, dedicated schema for audit records</w:t>
            </w:r>
          </w:p>
        </w:tc>
      </w:tr>
    </w:tbl>
    <w:p>
      <w:pPr>
        <w:spacing w:after="80"/>
      </w:pPr>
    </w:p>
    <w:p>
      <w:pPr>
        <w:pStyle w:val="SmallNote"/>
      </w:pPr>
      <w:r>
        <w:t>The leadership-facing narrative abstracts away specific technology names (Postgres, pgvector, Apache AGE); that level of detail belongs in a technical appendix, not the main story.</w:t>
      </w:r>
    </w:p>
    <w:p>
      <w:pPr>
        <w:pStyle w:val="Heading2"/>
      </w:pPr>
      <w:r>
        <w:t>4.9 How the knowledge graph is built</w:t>
      </w:r>
    </w:p>
    <w:p>
      <w:r>
        <w:t>Chunking and embedding (via LangChain-style tooling) does not create the graph — it only splits and embeds content. Graph construction is a separate process: it takes a document and its metadata and creates connections between chunks and topics. For example, a chunk from a stand-up meeting is tagged with topics, and any other chunk discussing the same topic is linked to it via that shared tag. This tagging/linking mechanism needs further elaboration and research to mature.</w:t>
      </w:r>
    </w:p>
    <w:p>
      <w:pPr>
        <w:pStyle w:val="Callout"/>
      </w:pPr>
      <w:r>
        <w:t>Plain-language framing for non-technical audiences: content is split, given logical references or tags, and correlated with related content, so that at retrieval time the system knows what topic a piece of content belongs to.</w:t>
      </w:r>
    </w:p>
    <w:p>
      <w:pPr>
        <w:pStyle w:val="Heading1"/>
      </w:pPr>
      <w:r>
        <w:t>5. V1 — Retrieval</w:t>
      </w:r>
    </w:p>
    <w:p>
      <w:pPr>
        <w:spacing w:before="40" w:after="200"/>
        <w:pBdr>
          <w:bottom w:val="single" w:sz="18" w:space="1" w:color="2E74B5"/>
        </w:pBdr>
      </w:pPr>
    </w:p>
    <w:p>
      <w:r>
        <w:t>The retrieval flow proceeds as follows:</w:t>
      </w:r>
    </w:p>
    <w:p>
      <w:pPr>
        <w:pStyle w:val="ListNumber"/>
        <w:spacing w:after="80"/>
      </w:pPr>
      <w:r>
        <w:t>A user or agent submits a query through the access layer (authentication and token handling are treated as standard, already-understood mechanics).</w:t>
      </w:r>
    </w:p>
    <w:p>
      <w:pPr>
        <w:pStyle w:val="ListNumber"/>
        <w:spacing w:after="80"/>
      </w:pPr>
      <w:r>
        <w:t>The system parses/understands the query.</w:t>
      </w:r>
    </w:p>
    <w:p>
      <w:pPr>
        <w:pStyle w:val="ListNumber"/>
        <w:spacing w:after="80"/>
      </w:pPr>
      <w:r>
        <w:t>Vector (semantic) search and keyword (Postgres FTS) search run in parallel, each independently returning its own best-matching candidates.</w:t>
      </w:r>
    </w:p>
    <w:p>
      <w:pPr>
        <w:pStyle w:val="ListNumber"/>
        <w:spacing w:after="80"/>
      </w:pPr>
      <w:r>
        <w:t>A hard authorization filter is applied across all candidates from both searches. Anything unauthorized is dropped entirely; only authorized candidates proceed.</w:t>
      </w:r>
    </w:p>
    <w:p>
      <w:pPr>
        <w:pStyle w:val="ListNumber"/>
        <w:spacing w:after="80"/>
      </w:pPr>
      <w:r>
        <w:t>Fusion and ranking run on the authorized survivors, using an algorithm (RRF-style fusion) to determine which chunk ranks highest.</w:t>
      </w:r>
    </w:p>
    <w:p>
      <w:pPr>
        <w:pStyle w:val="ListNumber"/>
        <w:spacing w:after="80"/>
      </w:pPr>
      <w:r>
        <w:t>Cross-encoder re-ranking is a later-maturity addition, not part of the initial build.</w:t>
      </w:r>
    </w:p>
    <w:p>
      <w:pPr>
        <w:pStyle w:val="ListNumber"/>
        <w:spacing w:after="80"/>
      </w:pPr>
      <w:r>
        <w:t>Graph expansion checks whether a ranked chunk has a relationship with other cross-referenced entities or topics via the graph, and pulls those in as additional context.</w:t>
      </w:r>
    </w:p>
    <w:p>
      <w:pPr>
        <w:pStyle w:val="ListNumber"/>
        <w:spacing w:after="80"/>
      </w:pPr>
      <w:r>
        <w:t>Arbitration resolves conflicts between chunks — canonical/formal sources always outrank informal sources, with this precedence applied before any tie-breaking by recency.</w:t>
      </w:r>
    </w:p>
    <w:p>
      <w:pPr>
        <w:pStyle w:val="ListNumber"/>
        <w:spacing w:after="80"/>
      </w:pPr>
      <w:r>
        <w:t>The authorized, arbitrated, ranked context is sent to the LLM to generate the final answer.</w:t>
      </w:r>
    </w:p>
    <w:p>
      <w:pPr>
        <w:pStyle w:val="ListNumber"/>
        <w:spacing w:after="80"/>
      </w:pPr>
      <w:r>
        <w:t>The full interaction is logged for audit.</w:t>
      </w:r>
    </w:p>
    <w:p>
      <w:pPr>
        <w:pStyle w:val="Callout"/>
      </w:pPr>
      <w:r>
        <w:t>This design mirrors how established platforms approach retrieval, but its real-world performance and the constraints it surfaces in practice remain to be validated through testing on actual Landmark content — this should be stated plainly rather than assumed.</w:t>
      </w:r>
    </w:p>
    <w:p>
      <w:pPr>
        <w:pStyle w:val="Heading2"/>
      </w:pPr>
      <w:r>
        <w:t>5.1 Keyword vs. semantic search</w:t>
      </w:r>
    </w:p>
    <w:tbl>
      <w:tblPr>
        <w:tblStyle w:val="TableGrid"/>
        <w:tblW w:type="auto" w:w="0"/>
        <w:jc w:val="center"/>
        <w:tblLook w:firstColumn="1" w:firstRow="1" w:lastColumn="0" w:lastRow="0" w:noHBand="0" w:noVBand="1" w:val="04A0"/>
      </w:tblPr>
      <w:tblGrid>
        <w:gridCol w:w="4819"/>
        <w:gridCol w:w="4819"/>
      </w:tblGrid>
      <w:tr>
        <w:tc>
          <w:tcPr>
            <w:tcW w:type="dxa" w:w="3744"/>
            <w:shd w:val="clear" w:color="auto" w:fill="1F4E79"/>
          </w:tcPr>
          <w:p>
            <w:r/>
            <w:r>
              <w:rPr>
                <w:rFonts w:ascii="Calibri" w:hAnsi="Calibri"/>
                <w:b/>
                <w:color w:val="FFFFFF"/>
                <w:sz w:val="20"/>
              </w:rPr>
              <w:t>Search type</w:t>
            </w:r>
          </w:p>
        </w:tc>
        <w:tc>
          <w:tcPr>
            <w:tcW w:type="dxa" w:w="6768"/>
            <w:shd w:val="clear" w:color="auto" w:fill="1F4E79"/>
          </w:tcPr>
          <w:p>
            <w:r/>
            <w:r>
              <w:rPr>
                <w:rFonts w:ascii="Calibri" w:hAnsi="Calibri"/>
                <w:b/>
                <w:color w:val="FFFFFF"/>
                <w:sz w:val="20"/>
              </w:rPr>
              <w:t>What it does</w:t>
            </w:r>
          </w:p>
        </w:tc>
      </w:tr>
      <w:tr>
        <w:tc>
          <w:tcPr>
            <w:tcW w:type="dxa" w:w="3744"/>
            <w:shd w:val="clear" w:color="auto" w:fill="F2F2F2"/>
          </w:tcPr>
          <w:p>
            <w:r/>
            <w:r>
              <w:rPr>
                <w:rFonts w:ascii="Calibri" w:hAnsi="Calibri"/>
                <w:b w:val="0"/>
                <w:sz w:val="19"/>
              </w:rPr>
              <w:t>Keyword search (Postgres FTS / BM25-style)</w:t>
            </w:r>
          </w:p>
        </w:tc>
        <w:tc>
          <w:tcPr>
            <w:tcW w:type="dxa" w:w="6768"/>
            <w:shd w:val="clear" w:color="auto" w:fill="F2F2F2"/>
          </w:tcPr>
          <w:p>
            <w:r/>
            <w:r>
              <w:rPr>
                <w:rFonts w:ascii="Calibri" w:hAnsi="Calibri"/>
                <w:b w:val="0"/>
                <w:sz w:val="19"/>
              </w:rPr>
              <w:t>Matches on the literal keyword(s) in the query. Common/filler words receive low ranking weight; rare, specific keywords receive high ranking weight — rewards exact terminology matches.</w:t>
            </w:r>
          </w:p>
        </w:tc>
      </w:tr>
      <w:tr>
        <w:tc>
          <w:tcPr>
            <w:tcW w:type="dxa" w:w="3744"/>
            <w:shd w:val="clear" w:color="auto" w:fill="FFFFFF"/>
          </w:tcPr>
          <w:p>
            <w:r/>
            <w:r>
              <w:rPr>
                <w:rFonts w:ascii="Calibri" w:hAnsi="Calibri"/>
                <w:b w:val="0"/>
                <w:sz w:val="19"/>
              </w:rPr>
              <w:t>Semantic / vector search</w:t>
            </w:r>
          </w:p>
        </w:tc>
        <w:tc>
          <w:tcPr>
            <w:tcW w:type="dxa" w:w="6768"/>
            <w:shd w:val="clear" w:color="auto" w:fill="FFFFFF"/>
          </w:tcPr>
          <w:p>
            <w:r/>
            <w:r>
              <w:rPr>
                <w:rFonts w:ascii="Calibri" w:hAnsi="Calibri"/>
                <w:b w:val="0"/>
                <w:sz w:val="19"/>
              </w:rPr>
              <w:t>Matches on the meaning or intent of the query, not the literal words — can surface a related concept even when the exact term isn't present.</w:t>
            </w:r>
          </w:p>
        </w:tc>
      </w:tr>
    </w:tbl>
    <w:p>
      <w:pPr>
        <w:spacing w:after="80"/>
      </w:pPr>
    </w:p>
    <w:p>
      <w:pPr>
        <w:pStyle w:val="Heading1"/>
      </w:pPr>
      <w:r>
        <w:t>6. Concrete Usage Examples</w:t>
      </w:r>
    </w:p>
    <w:p>
      <w:pPr>
        <w:spacing w:before="40" w:after="200"/>
        <w:pBdr>
          <w:bottom w:val="single" w:sz="18" w:space="1" w:color="2E74B5"/>
        </w:pBdr>
      </w:pPr>
    </w:p>
    <w:p>
      <w:r>
        <w:t>Concrete examples make the platform's value legible where architecture alone will not. R&amp;D is the lead example, since the team can validate value against its own real content first.</w:t>
      </w:r>
    </w:p>
    <w:p>
      <w:pPr>
        <w:pStyle w:val="Heading2"/>
      </w:pPr>
      <w:r>
        <w:t>6.1 R&amp;D domain</w:t>
      </w:r>
    </w:p>
    <w:p>
      <w:r>
        <w:t>All R&amp;D documents, designs, contracts, and Teams meeting recordings are loaded into a domain-specific context layer. A user selects that domain and asks questions against it.</w:t>
      </w:r>
    </w:p>
    <w:tbl>
      <w:tblPr>
        <w:tblStyle w:val="TableGrid"/>
        <w:tblW w:type="auto" w:w="0"/>
        <w:jc w:val="center"/>
        <w:tblLook w:firstColumn="1" w:firstRow="1" w:lastColumn="0" w:lastRow="0" w:noHBand="0" w:noVBand="1" w:val="04A0"/>
      </w:tblPr>
      <w:tblGrid>
        <w:gridCol w:w="3213"/>
        <w:gridCol w:w="3213"/>
        <w:gridCol w:w="3213"/>
      </w:tblGrid>
      <w:tr>
        <w:tc>
          <w:tcPr>
            <w:tcW w:type="dxa" w:w="864"/>
            <w:shd w:val="clear" w:color="auto" w:fill="1F4E79"/>
          </w:tcPr>
          <w:p>
            <w:r/>
            <w:r>
              <w:rPr>
                <w:rFonts w:ascii="Calibri" w:hAnsi="Calibri"/>
                <w:b/>
                <w:color w:val="FFFFFF"/>
                <w:sz w:val="20"/>
              </w:rPr>
              <w:t>Level</w:t>
            </w:r>
          </w:p>
        </w:tc>
        <w:tc>
          <w:tcPr>
            <w:tcW w:type="dxa" w:w="4320"/>
            <w:shd w:val="clear" w:color="auto" w:fill="1F4E79"/>
          </w:tcPr>
          <w:p>
            <w:r/>
            <w:r>
              <w:rPr>
                <w:rFonts w:ascii="Calibri" w:hAnsi="Calibri"/>
                <w:b/>
                <w:color w:val="FFFFFF"/>
                <w:sz w:val="20"/>
              </w:rPr>
              <w:t>Example question</w:t>
            </w:r>
          </w:p>
        </w:tc>
        <w:tc>
          <w:tcPr>
            <w:tcW w:type="dxa" w:w="4752"/>
            <w:shd w:val="clear" w:color="auto" w:fill="1F4E79"/>
          </w:tcPr>
          <w:p>
            <w:r/>
            <w:r>
              <w:rPr>
                <w:rFonts w:ascii="Calibri" w:hAnsi="Calibri"/>
                <w:b/>
                <w:color w:val="FFFFFF"/>
                <w:sz w:val="20"/>
              </w:rPr>
              <w:t>What it returns</w:t>
            </w:r>
          </w:p>
        </w:tc>
      </w:tr>
      <w:tr>
        <w:tc>
          <w:tcPr>
            <w:tcW w:type="dxa" w:w="864"/>
            <w:shd w:val="clear" w:color="auto" w:fill="F2F2F2"/>
          </w:tcPr>
          <w:p>
            <w:r/>
            <w:r>
              <w:rPr>
                <w:rFonts w:ascii="Calibri" w:hAnsi="Calibri"/>
                <w:b w:val="0"/>
                <w:sz w:val="19"/>
              </w:rPr>
              <w:t>1</w:t>
            </w:r>
          </w:p>
        </w:tc>
        <w:tc>
          <w:tcPr>
            <w:tcW w:type="dxa" w:w="4320"/>
            <w:shd w:val="clear" w:color="auto" w:fill="F2F2F2"/>
          </w:tcPr>
          <w:p>
            <w:r/>
            <w:r>
              <w:rPr>
                <w:rFonts w:ascii="Calibri" w:hAnsi="Calibri"/>
                <w:b w:val="0"/>
                <w:sz w:val="19"/>
              </w:rPr>
              <w:t>What has R&amp;D been working on for the last month?</w:t>
            </w:r>
          </w:p>
        </w:tc>
        <w:tc>
          <w:tcPr>
            <w:tcW w:type="dxa" w:w="4752"/>
            <w:shd w:val="clear" w:color="auto" w:fill="F2F2F2"/>
          </w:tcPr>
          <w:p>
            <w:r/>
            <w:r>
              <w:rPr>
                <w:rFonts w:ascii="Calibri" w:hAnsi="Calibri"/>
                <w:b w:val="0"/>
                <w:sz w:val="19"/>
              </w:rPr>
              <w:t>A summary pulled from meeting recordings and uploaded documents/designs.</w:t>
            </w:r>
          </w:p>
        </w:tc>
      </w:tr>
      <w:tr>
        <w:tc>
          <w:tcPr>
            <w:tcW w:type="dxa" w:w="864"/>
            <w:shd w:val="clear" w:color="auto" w:fill="FFFFFF"/>
          </w:tcPr>
          <w:p>
            <w:r/>
            <w:r>
              <w:rPr>
                <w:rFonts w:ascii="Calibri" w:hAnsi="Calibri"/>
                <w:b w:val="0"/>
                <w:sz w:val="19"/>
              </w:rPr>
              <w:t>2</w:t>
            </w:r>
          </w:p>
        </w:tc>
        <w:tc>
          <w:tcPr>
            <w:tcW w:type="dxa" w:w="4320"/>
            <w:shd w:val="clear" w:color="auto" w:fill="FFFFFF"/>
          </w:tcPr>
          <w:p>
            <w:r/>
            <w:r>
              <w:rPr>
                <w:rFonts w:ascii="Calibri" w:hAnsi="Calibri"/>
                <w:b w:val="0"/>
                <w:sz w:val="19"/>
              </w:rPr>
              <w:t>Tell me more about the enterprise knowledge work specifically — what state is it in?</w:t>
            </w:r>
          </w:p>
        </w:tc>
        <w:tc>
          <w:tcPr>
            <w:tcW w:type="dxa" w:w="4752"/>
            <w:shd w:val="clear" w:color="auto" w:fill="FFFFFF"/>
          </w:tcPr>
          <w:p>
            <w:r/>
            <w:r>
              <w:rPr>
                <w:rFonts w:ascii="Calibri" w:hAnsi="Calibri"/>
                <w:b w:val="0"/>
                <w:sz w:val="19"/>
              </w:rPr>
              <w:t>A deeper, topic-scoped answer drilling into one of the topics surfaced at Level 1.</w:t>
            </w:r>
          </w:p>
        </w:tc>
      </w:tr>
      <w:tr>
        <w:tc>
          <w:tcPr>
            <w:tcW w:type="dxa" w:w="864"/>
            <w:shd w:val="clear" w:color="auto" w:fill="F2F2F2"/>
          </w:tcPr>
          <w:p>
            <w:r/>
            <w:r>
              <w:rPr>
                <w:rFonts w:ascii="Calibri" w:hAnsi="Calibri"/>
                <w:b w:val="0"/>
                <w:sz w:val="19"/>
              </w:rPr>
              <w:t>3</w:t>
            </w:r>
          </w:p>
        </w:tc>
        <w:tc>
          <w:tcPr>
            <w:tcW w:type="dxa" w:w="4320"/>
            <w:shd w:val="clear" w:color="auto" w:fill="F2F2F2"/>
          </w:tcPr>
          <w:p>
            <w:r/>
            <w:r>
              <w:rPr>
                <w:rFonts w:ascii="Calibri" w:hAnsi="Calibri"/>
                <w:b w:val="0"/>
                <w:sz w:val="19"/>
              </w:rPr>
              <w:t>Has there been any discussion on optimizing token cost?</w:t>
            </w:r>
          </w:p>
        </w:tc>
        <w:tc>
          <w:tcPr>
            <w:tcW w:type="dxa" w:w="4752"/>
            <w:shd w:val="clear" w:color="auto" w:fill="F2F2F2"/>
          </w:tcPr>
          <w:p>
            <w:r/>
            <w:r>
              <w:rPr>
                <w:rFonts w:ascii="Calibri" w:hAnsi="Calibri"/>
                <w:b w:val="0"/>
                <w:sz w:val="19"/>
              </w:rPr>
              <w:t>Surfaces any prior discussion on that exact topic, wherever it lives in the ingested content.</w:t>
            </w:r>
          </w:p>
        </w:tc>
      </w:tr>
    </w:tbl>
    <w:p>
      <w:pPr>
        <w:spacing w:after="80"/>
      </w:pPr>
    </w:p>
    <w:p>
      <w:pPr>
        <w:pStyle w:val="Heading2"/>
      </w:pPr>
      <w:r>
        <w:t>6.2 Cross-function leadership view</w:t>
      </w:r>
    </w:p>
    <w:p>
      <w:r>
        <w:t>A leader can ask for the top topics teams are working on across functions, and get a summarized, aggregated answer instead of individually canvassing each team lead for status.</w:t>
      </w:r>
    </w:p>
    <w:p>
      <w:pPr>
        <w:pStyle w:val="Heading2"/>
      </w:pPr>
      <w:r>
        <w:t>6.3 Ops domain</w:t>
      </w:r>
    </w:p>
    <w:p>
      <w:r>
        <w:t>SOPs, incidents/tickets, and related conversations are knowledge-heavy and demonstrate concrete value easily — a strong second domain to build out alongside R&amp;D.</w:t>
      </w:r>
    </w:p>
    <w:p>
      <w:pPr>
        <w:pStyle w:val="Heading2"/>
      </w:pPr>
      <w:r>
        <w:t>6.4 Setting expectations</w:t>
      </w:r>
    </w:p>
    <w:p>
      <w:r>
        <w:t>The platform's answer quality is entirely bounded by what has actually been ingested. Content that was never captured cannot be retrieved. What the system can and cannot answer is stated as an explicit, visible constraint — not left implicit.</w:t>
      </w:r>
    </w:p>
    <w:p>
      <w:pPr>
        <w:pStyle w:val="Heading1"/>
      </w:pPr>
      <w:r>
        <w:t>7. Exclusions and Open Risks</w:t>
      </w:r>
    </w:p>
    <w:p>
      <w:pPr>
        <w:spacing w:before="40" w:after="200"/>
        <w:pBdr>
          <w:bottom w:val="single" w:sz="18" w:space="1" w:color="2E74B5"/>
        </w:pBdr>
      </w:pPr>
    </w:p>
    <w:p>
      <w:pPr>
        <w:pStyle w:val="Heading2"/>
      </w:pPr>
      <w:r>
        <w:t>7.1 Exclusion rules</w:t>
      </w:r>
    </w:p>
    <w:p>
      <w:r>
        <w:t>Not everything is loaded into the knowledge base. The platform surfaces operational knowledge, not commercial or restricted material:</w:t>
      </w:r>
    </w:p>
    <w:p>
      <w:pPr>
        <w:pStyle w:val="ListBullet"/>
        <w:spacing w:after="80"/>
      </w:pPr>
      <w:r>
        <w:t>Restricted or commercial content (e.g. contracts visible only to specific functions such as Finance) needs an explicit exclusion rule — whether and how such content should ever surface through this platform is still an open question requiring its own dedicated review.</w:t>
      </w:r>
    </w:p>
    <w:p>
      <w:pPr>
        <w:pStyle w:val="ListBullet"/>
        <w:spacing w:after="80"/>
      </w:pPr>
      <w:r>
        <w:t>People data, performance ratings, and feedback are excluded from ingestion.</w:t>
      </w:r>
    </w:p>
    <w:p>
      <w:pPr>
        <w:pStyle w:val="Heading2"/>
      </w:pPr>
      <w:r>
        <w:t>7.2 Duplicate and conflicting content</w:t>
      </w:r>
    </w:p>
    <w:p>
      <w:r>
        <w:t>When multiple documents contain the same or overlapping context, canonical-source precedence and arbitration (see §5) determine which is trusted. This approach is believed sound based on how established platforms handle the same problem, but it remains unproven for Landmark's content until validated through testing.</w:t>
      </w:r>
    </w:p>
    <w:p>
      <w:pPr>
        <w:pStyle w:val="Heading2"/>
      </w:pPr>
      <w:r>
        <w:t>7.3 Relevance at ingestion</w:t>
      </w:r>
    </w:p>
    <w:p>
      <w:r>
        <w:t>There is no relevance filter applied at ingestion time initially — whatever lives in a function's designated source location is treated as relevant to that function by default. Relevance filtering and refinement is a later-phase concern, not something to solve at capture time.</w:t>
      </w:r>
    </w:p>
    <w:p>
      <w:pPr>
        <w:pStyle w:val="Heading1"/>
      </w:pPr>
      <w:r>
        <w:t>8. Build vs. Open Source vs. Buy</w:t>
      </w:r>
    </w:p>
    <w:p>
      <w:pPr>
        <w:spacing w:before="40" w:after="200"/>
        <w:pBdr>
          <w:bottom w:val="single" w:sz="18" w:space="1" w:color="2E74B5"/>
        </w:pBdr>
      </w:pPr>
    </w:p>
    <w:p>
      <w:r>
        <w:t>Three paths are being evaluated in parallel rather than committing to one before learning from a proof of concept:</w:t>
      </w:r>
    </w:p>
    <w:p>
      <w:pPr>
        <w:pStyle w:val="ListNumber"/>
        <w:spacing w:after="80"/>
      </w:pPr>
      <w:r>
        <w:t>Build in-house — the costliest in engineering time, with full ownership of every layer.</w:t>
      </w:r>
    </w:p>
    <w:p>
      <w:pPr>
        <w:pStyle w:val="ListNumber"/>
        <w:spacing w:after="80"/>
      </w:pPr>
      <w:r>
        <w:t>Open source — existing open-source platforms already cover many of these layers (self-hostable, connect to an LLM, out-of-the-box connectors for SharePoint and Teams). Two candidates worth prototyping: Onyx (github.com/onyx-dot-app/onyx) — free and self-hosted under an MIT license, with a cloud tier at roughly $16–$20 per seat per month and a custom-priced enterprise tier — and Semantica (github.com/semantica-agi/semantica), an early-stage, free MIT-licensed project focused on graph-native context infrastructure, relevant specifically to the source-of-truth/graph layer.</w:t>
      </w:r>
    </w:p>
    <w:p>
      <w:pPr>
        <w:pStyle w:val="ListNumber"/>
        <w:spacing w:after="80"/>
      </w:pPr>
      <w:r>
        <w:t>Buy commercially — researching the top commercial solutions and their pricing as a third option.</w:t>
      </w:r>
    </w:p>
    <w:p>
      <w:r>
        <w:t>Both the in-house build and the open-source prototype (starting with Onyx) proceed in parallel, with commercial options researched alongside them, so a concrete build/open-source/buy recommendation can be brought back after initial experimentation rather than before it.</w:t>
      </w:r>
    </w:p>
    <w:sectPr w:rsidR="00FC693F" w:rsidRPr="0006063C" w:rsidSect="00034616">
      <w:headerReference w:type="default" r:id="rId9"/>
      <w:footerReference w:type="default" r:id="rId10"/>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8A8A8A"/>
        <w:sz w:val="16"/>
      </w:rPr>
      <w:t>Confidential — Internal Working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8A8A8A"/>
        <w:sz w:val="16"/>
      </w:rPr>
      <w:t>Landmark Enterprise Knowledgebase — Working Design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color w:val="1F4E79"/>
      <w:sz w:val="38"/>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B21739"/>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59595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basedOn w:val="Normal"/>
    <w:rPr>
      <w:rFonts w:ascii="Calibri" w:hAnsi="Calibri"/>
      <w:b/>
      <w:i w:val="0"/>
      <w:color w:val="0F2A43"/>
      <w:sz w:val="56"/>
    </w:rPr>
  </w:style>
  <w:style w:type="paragraph" w:customStyle="1" w:styleId="CoverSubtitle">
    <w:name w:val="CoverSubtitle"/>
    <w:basedOn w:val="Normal"/>
    <w:rPr>
      <w:rFonts w:ascii="Calibri" w:hAnsi="Calibri"/>
      <w:b w:val="0"/>
      <w:i/>
      <w:color w:val="595959"/>
      <w:sz w:val="26"/>
    </w:rPr>
  </w:style>
  <w:style w:type="paragraph" w:customStyle="1" w:styleId="Callout">
    <w:name w:val="Callout"/>
    <w:basedOn w:val="Normal"/>
    <w:rPr>
      <w:rFonts w:ascii="Calibri" w:hAnsi="Calibri"/>
      <w:b/>
      <w:i w:val="0"/>
      <w:color w:val="B21739"/>
      <w:sz w:val="22"/>
    </w:rPr>
  </w:style>
  <w:style w:type="paragraph" w:customStyle="1" w:styleId="GoodCallout">
    <w:name w:val="GoodCallout"/>
    <w:basedOn w:val="Normal"/>
    <w:rPr>
      <w:rFonts w:ascii="Calibri" w:hAnsi="Calibri"/>
      <w:b/>
      <w:i w:val="0"/>
      <w:color w:val="166534"/>
      <w:sz w:val="22"/>
    </w:rPr>
  </w:style>
  <w:style w:type="paragraph" w:customStyle="1" w:styleId="SmallNote">
    <w:name w:val="SmallNote"/>
    <w:basedOn w:val="Normal"/>
    <w:rPr>
      <w:rFonts w:ascii="Calibri" w:hAnsi="Calibri"/>
      <w:b w:val="0"/>
      <w:i/>
      <w:color w:val="8A8A8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