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DAC" w:rsidRDefault="00C8429A">
      <w:r>
        <w:t>How to calculate the NFPA 85 Purge Volume</w:t>
      </w:r>
    </w:p>
    <w:p w:rsidR="00C8429A" w:rsidRDefault="00C8429A"/>
    <w:p w:rsidR="00C8429A" w:rsidRDefault="00C8429A">
      <w:r>
        <w:t>Rev History</w:t>
      </w:r>
    </w:p>
    <w:p w:rsidR="00C8429A" w:rsidRDefault="00C8429A">
      <w:r>
        <w:t xml:space="preserve">0 </w:t>
      </w:r>
      <w:r>
        <w:tab/>
        <w:t>4/12/</w:t>
      </w:r>
      <w:r w:rsidR="00931309">
        <w:t>1</w:t>
      </w:r>
      <w:r>
        <w:t>6</w:t>
      </w:r>
      <w:r>
        <w:tab/>
        <w:t>Initial Issue</w:t>
      </w:r>
      <w:r>
        <w:tab/>
      </w:r>
      <w:r w:rsidR="00154483">
        <w:tab/>
      </w:r>
      <w:r w:rsidR="00154483">
        <w:tab/>
      </w:r>
      <w:r>
        <w:t>Robert Loeven</w:t>
      </w:r>
    </w:p>
    <w:p w:rsidR="00154483" w:rsidRDefault="00154483">
      <w:r>
        <w:t>1</w:t>
      </w:r>
      <w:r>
        <w:tab/>
        <w:t>4/18/</w:t>
      </w:r>
      <w:r w:rsidR="00931309">
        <w:t>1</w:t>
      </w:r>
      <w:r>
        <w:t>6</w:t>
      </w:r>
      <w:r>
        <w:tab/>
        <w:t xml:space="preserve">Minor text </w:t>
      </w:r>
      <w:r w:rsidR="00FF259E">
        <w:t>improvements</w:t>
      </w:r>
      <w:r>
        <w:tab/>
        <w:t>Robert Loeven</w:t>
      </w:r>
    </w:p>
    <w:p w:rsidR="00931309" w:rsidRDefault="00931309">
      <w:r>
        <w:t>2</w:t>
      </w:r>
      <w:r>
        <w:tab/>
        <w:t>7/25/16</w:t>
      </w:r>
      <w:r>
        <w:tab/>
        <w:t xml:space="preserve">Added GT </w:t>
      </w:r>
      <w:proofErr w:type="spellStart"/>
      <w:r>
        <w:t>Exh</w:t>
      </w:r>
      <w:proofErr w:type="spellEnd"/>
      <w:r>
        <w:t xml:space="preserve"> Volumes</w:t>
      </w:r>
      <w:r>
        <w:tab/>
      </w:r>
      <w:r>
        <w:tab/>
        <w:t>Robert Loeven</w:t>
      </w:r>
    </w:p>
    <w:p w:rsidR="00C8429A" w:rsidRDefault="00C8429A">
      <w:r>
        <w:t>Background</w:t>
      </w:r>
    </w:p>
    <w:p w:rsidR="00C8429A" w:rsidRDefault="00C8429A">
      <w:r>
        <w:t xml:space="preserve">The introduction of the shutdown purge credit product created a desire to have smaller </w:t>
      </w:r>
      <w:r w:rsidR="00F81E53">
        <w:t xml:space="preserve">purge volumes. </w:t>
      </w:r>
      <w:r w:rsidR="00A12E1C">
        <w:t xml:space="preserve">The previous GE method </w:t>
      </w:r>
      <w:r w:rsidR="00CD6FC8">
        <w:t>used for the startup purge took into account the entire HRSG and thus produced large purge volumes. These l</w:t>
      </w:r>
      <w:r w:rsidR="00F81E53">
        <w:t>arge purge volumes</w:t>
      </w:r>
      <w:r w:rsidR="00A12E1C">
        <w:t xml:space="preserve"> are more likely to cause an incomplete purge of the entire required volume</w:t>
      </w:r>
      <w:r w:rsidR="00F81E53">
        <w:t xml:space="preserve"> during a </w:t>
      </w:r>
      <w:proofErr w:type="spellStart"/>
      <w:r w:rsidR="00F81E53">
        <w:t>coastdown</w:t>
      </w:r>
      <w:proofErr w:type="spellEnd"/>
      <w:r w:rsidR="00F81E53">
        <w:t xml:space="preserve">, which results in a need to re-connect the LCI, or in the customer not obtaining the desired </w:t>
      </w:r>
      <w:r w:rsidR="00715F41">
        <w:t xml:space="preserve">purge credit. </w:t>
      </w:r>
    </w:p>
    <w:p w:rsidR="00715F41" w:rsidRDefault="00715F41"/>
    <w:p w:rsidR="00715F41" w:rsidRDefault="00715F41">
      <w:r>
        <w:t>As a result, NFPA 85 volume</w:t>
      </w:r>
      <w:r w:rsidR="00A12E1C">
        <w:t xml:space="preserve"> methodology</w:t>
      </w:r>
      <w:r>
        <w:t xml:space="preserve"> </w:t>
      </w:r>
      <w:r w:rsidR="00A12E1C">
        <w:t xml:space="preserve">was </w:t>
      </w:r>
      <w:r>
        <w:t xml:space="preserve">approved for use on shutdown purge credit units. The National Fire Protection Agency 85 Standard </w:t>
      </w:r>
      <w:r w:rsidR="00E60648">
        <w:t>8.8.4.2.1 dictates how this will be calculated. The volume is equal to 5x the volume of the GT exit to the point in the HRSG where the exhaust gas temperature drops to 100F below the autoignition temperature (AIT) of the design fuel. Note that the volume must extend at least to the outlet of the first evaporator in the HRSG</w:t>
      </w:r>
      <w:r w:rsidR="00CD6FC8">
        <w:t xml:space="preserve"> (see excerpt below)</w:t>
      </w:r>
      <w:r w:rsidR="00E60648">
        <w:t xml:space="preserve">. </w:t>
      </w:r>
    </w:p>
    <w:p w:rsidR="006938EB" w:rsidRDefault="006938EB"/>
    <w:p w:rsidR="006938EB" w:rsidRDefault="006938EB"/>
    <w:p w:rsidR="00E60648" w:rsidRDefault="00E60648"/>
    <w:p w:rsidR="00E60648" w:rsidRDefault="00E60648">
      <w:r w:rsidRPr="00E60648">
        <w:rPr>
          <w:noProof/>
        </w:rPr>
        <w:lastRenderedPageBreak/>
        <w:drawing>
          <wp:inline distT="0" distB="0" distL="0" distR="0" wp14:anchorId="772BC8B8" wp14:editId="65C03054">
            <wp:extent cx="4838949" cy="424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838949" cy="4248368"/>
                    </a:xfrm>
                    <a:prstGeom prst="rect">
                      <a:avLst/>
                    </a:prstGeom>
                  </pic:spPr>
                </pic:pic>
              </a:graphicData>
            </a:graphic>
          </wp:inline>
        </w:drawing>
      </w:r>
    </w:p>
    <w:p w:rsidR="009C53A0" w:rsidRDefault="009C53A0" w:rsidP="009C53A0">
      <w:pPr>
        <w:jc w:val="center"/>
      </w:pPr>
      <w:r>
        <w:t>Figure 1 – Excerpt from NFPA 85, 2015 Version</w:t>
      </w:r>
    </w:p>
    <w:p w:rsidR="00E60648" w:rsidRDefault="00E60648"/>
    <w:p w:rsidR="00E60648" w:rsidRDefault="00E60648">
      <w:r>
        <w:t>Required Inputs</w:t>
      </w:r>
    </w:p>
    <w:p w:rsidR="00E60648" w:rsidRDefault="00E60648" w:rsidP="00E60648">
      <w:pPr>
        <w:pStyle w:val="ListParagraph"/>
        <w:numPr>
          <w:ilvl w:val="0"/>
          <w:numId w:val="1"/>
        </w:numPr>
      </w:pPr>
      <w:r>
        <w:t>Design Fuel Specification - Can be found in PLM</w:t>
      </w:r>
      <w:r w:rsidR="00CD6FC8">
        <w:t xml:space="preserve"> for the specific site project</w:t>
      </w:r>
    </w:p>
    <w:p w:rsidR="00E60648" w:rsidRDefault="00E60648" w:rsidP="00E60648">
      <w:pPr>
        <w:pStyle w:val="ListParagraph"/>
        <w:numPr>
          <w:ilvl w:val="0"/>
          <w:numId w:val="1"/>
        </w:numPr>
      </w:pPr>
      <w:r>
        <w:t>Thermal cycle analysis of HRSG by component at base load condition</w:t>
      </w:r>
    </w:p>
    <w:p w:rsidR="00E60648" w:rsidRDefault="00E60648" w:rsidP="00E60648">
      <w:pPr>
        <w:pStyle w:val="ListParagraph"/>
        <w:numPr>
          <w:ilvl w:val="0"/>
          <w:numId w:val="1"/>
        </w:numPr>
      </w:pPr>
      <w:r>
        <w:t>HRSG Component volumes and tube volumes</w:t>
      </w:r>
    </w:p>
    <w:p w:rsidR="00E60648" w:rsidRDefault="00E60648" w:rsidP="00E60648"/>
    <w:p w:rsidR="00E60648" w:rsidRDefault="00E60648" w:rsidP="00E60648">
      <w:r>
        <w:t>Calculation Methodology</w:t>
      </w:r>
    </w:p>
    <w:p w:rsidR="00E60648" w:rsidRDefault="00E60648" w:rsidP="00E60648"/>
    <w:p w:rsidR="00E60648" w:rsidRDefault="00E60648" w:rsidP="00E60648">
      <w:r>
        <w:t>Please note</w:t>
      </w:r>
      <w:proofErr w:type="gramStart"/>
      <w:r>
        <w:t>,</w:t>
      </w:r>
      <w:proofErr w:type="gramEnd"/>
      <w:r>
        <w:t xml:space="preserve"> </w:t>
      </w:r>
      <w:r w:rsidR="00CD6FC8">
        <w:t>the preferred</w:t>
      </w:r>
      <w:r>
        <w:t xml:space="preserve"> </w:t>
      </w:r>
      <w:r w:rsidR="004E75FF">
        <w:t xml:space="preserve">situation is for the customer to provide this purge volume to </w:t>
      </w:r>
      <w:r w:rsidR="00CD6FC8">
        <w:t>GE</w:t>
      </w:r>
      <w:r w:rsidR="004E75FF">
        <w:t xml:space="preserve">. </w:t>
      </w:r>
      <w:r w:rsidR="00CD6FC8">
        <w:t>For n</w:t>
      </w:r>
      <w:r w:rsidR="004E75FF">
        <w:t>ew units the NFPA 85 purge volume</w:t>
      </w:r>
      <w:r w:rsidR="00CD6FC8">
        <w:t xml:space="preserve"> should be readily</w:t>
      </w:r>
      <w:r w:rsidR="004E75FF">
        <w:t xml:space="preserve"> available from the HRSG vendor. Even for existing units, it is </w:t>
      </w:r>
      <w:r w:rsidR="00CD6FC8">
        <w:t xml:space="preserve">preferred </w:t>
      </w:r>
      <w:r w:rsidR="004E75FF">
        <w:t xml:space="preserve">to have the customer provide this calculated volume to </w:t>
      </w:r>
      <w:r w:rsidR="00CD6FC8">
        <w:t>GE</w:t>
      </w:r>
      <w:r w:rsidR="004E75FF">
        <w:t>. If that is not possible, the customer must agree to sign off on the NFPA 85 purge volume</w:t>
      </w:r>
      <w:r w:rsidR="00CD6FC8">
        <w:t xml:space="preserve"> as calculated by GE</w:t>
      </w:r>
      <w:r w:rsidR="004E75FF">
        <w:t xml:space="preserve">. </w:t>
      </w:r>
      <w:r w:rsidR="00CD6FC8">
        <w:t>The detailed steps are listed below:</w:t>
      </w:r>
    </w:p>
    <w:p w:rsidR="004E75FF" w:rsidRDefault="004E75FF" w:rsidP="00E60648"/>
    <w:p w:rsidR="004E75FF" w:rsidRDefault="00F80383" w:rsidP="004E75FF">
      <w:pPr>
        <w:pStyle w:val="ListParagraph"/>
        <w:numPr>
          <w:ilvl w:val="0"/>
          <w:numId w:val="2"/>
        </w:numPr>
      </w:pPr>
      <w:r>
        <w:t xml:space="preserve">Determine </w:t>
      </w:r>
      <w:r w:rsidR="00CD6FC8">
        <w:t>the auto-ignition temperature (</w:t>
      </w:r>
      <w:r>
        <w:t>AIT</w:t>
      </w:r>
      <w:r w:rsidR="00CD6FC8">
        <w:t>)</w:t>
      </w:r>
      <w:r>
        <w:t xml:space="preserve"> of the design spec fuel. The fuel spec can be found in PLM for the project. If multiple fuels are used, the lowest AIT for the various fuels should be used. </w:t>
      </w:r>
      <w:r w:rsidR="0024225C">
        <w:t xml:space="preserve">For duel fuel units, the gas fuel AIT value may be used if the liquid fuel source is completely isolated via air block before the formation of the gas fuel </w:t>
      </w:r>
      <w:r w:rsidR="0024225C">
        <w:br/>
      </w:r>
      <w:r w:rsidR="0024225C">
        <w:br/>
      </w:r>
      <w:r>
        <w:t xml:space="preserve">Input the fuel constituents into the attached spreadsheet. The constituents are ordered from high to low AIT. The lowest AIT that has a red bar pop up is the one </w:t>
      </w:r>
      <w:r w:rsidR="00CD6FC8">
        <w:t>to be</w:t>
      </w:r>
      <w:r>
        <w:t xml:space="preserve"> use</w:t>
      </w:r>
      <w:r w:rsidR="00CD6FC8">
        <w:t>d</w:t>
      </w:r>
      <w:r>
        <w:t>.</w:t>
      </w:r>
      <w:r w:rsidR="006938EB">
        <w:t xml:space="preserve"> In the below example, the </w:t>
      </w:r>
      <w:r w:rsidR="00CD6FC8">
        <w:t xml:space="preserve">calculated </w:t>
      </w:r>
      <w:r w:rsidR="006938EB">
        <w:t xml:space="preserve">AIT is 472 </w:t>
      </w:r>
      <w:proofErr w:type="spellStart"/>
      <w:r w:rsidR="006938EB">
        <w:t>degC</w:t>
      </w:r>
      <w:proofErr w:type="spellEnd"/>
      <w:r w:rsidR="006938EB">
        <w:t xml:space="preserve">. </w:t>
      </w:r>
    </w:p>
    <w:p w:rsidR="006938EB" w:rsidRDefault="00CD6FC8" w:rsidP="006938EB">
      <w:r>
        <w:object w:dxaOrig="1000" w:dyaOrig="6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5pt;height:31.2pt" o:ole="">
            <v:imagedata r:id="rId7" o:title=""/>
          </v:shape>
          <o:OLEObject Type="Embed" ProgID="Excel.Sheet.8" ShapeID="_x0000_i1025" DrawAspect="Icon" ObjectID="_1530924044" r:id="rId8"/>
        </w:object>
      </w:r>
    </w:p>
    <w:p w:rsidR="006938EB" w:rsidRDefault="006938EB" w:rsidP="00E4417B">
      <w:pPr>
        <w:jc w:val="center"/>
      </w:pPr>
      <w:r w:rsidRPr="006938EB">
        <w:rPr>
          <w:noProof/>
        </w:rPr>
        <w:drawing>
          <wp:inline distT="0" distB="0" distL="0" distR="0" wp14:anchorId="6F831A5B" wp14:editId="1396FC3D">
            <wp:extent cx="3581584" cy="3321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581584" cy="3321221"/>
                    </a:xfrm>
                    <a:prstGeom prst="rect">
                      <a:avLst/>
                    </a:prstGeom>
                  </pic:spPr>
                </pic:pic>
              </a:graphicData>
            </a:graphic>
          </wp:inline>
        </w:drawing>
      </w:r>
    </w:p>
    <w:p w:rsidR="006938EB" w:rsidRDefault="006938EB" w:rsidP="006938EB"/>
    <w:p w:rsidR="00F74B57" w:rsidRDefault="006938EB" w:rsidP="006938EB">
      <w:pPr>
        <w:pStyle w:val="ListParagraph"/>
        <w:numPr>
          <w:ilvl w:val="0"/>
          <w:numId w:val="2"/>
        </w:numPr>
      </w:pPr>
      <w:r>
        <w:t xml:space="preserve">Examine thermal cycle analysis of the HRSG to determine </w:t>
      </w:r>
      <w:r w:rsidR="00204347">
        <w:t>the location in</w:t>
      </w:r>
      <w:r>
        <w:t xml:space="preserve"> HRSG where the exhaust gas temperature drops 56 </w:t>
      </w:r>
      <w:proofErr w:type="spellStart"/>
      <w:r>
        <w:t>degC</w:t>
      </w:r>
      <w:proofErr w:type="spellEnd"/>
      <w:r>
        <w:t xml:space="preserve"> (or 100F)</w:t>
      </w:r>
      <w:r w:rsidR="00204347">
        <w:t xml:space="preserve"> below AIT</w:t>
      </w:r>
      <w:r>
        <w:t xml:space="preserve">. In </w:t>
      </w:r>
      <w:r w:rsidR="00204347">
        <w:t xml:space="preserve">the </w:t>
      </w:r>
      <w:r>
        <w:t>example</w:t>
      </w:r>
      <w:r w:rsidR="00204347">
        <w:t xml:space="preserve"> above</w:t>
      </w:r>
      <w:r>
        <w:t xml:space="preserve">, we would have to determine the component where the </w:t>
      </w:r>
      <w:proofErr w:type="spellStart"/>
      <w:r>
        <w:t>exh</w:t>
      </w:r>
      <w:proofErr w:type="spellEnd"/>
      <w:r>
        <w:t xml:space="preserve"> gas temp drops below </w:t>
      </w:r>
      <w:r w:rsidR="00F74B57">
        <w:t xml:space="preserve">416 </w:t>
      </w:r>
      <w:proofErr w:type="spellStart"/>
      <w:r w:rsidR="00F74B57">
        <w:t>degC</w:t>
      </w:r>
      <w:proofErr w:type="spellEnd"/>
      <w:r w:rsidR="00F74B57">
        <w:t>. The entire volume of that component should be included</w:t>
      </w:r>
      <w:r w:rsidR="00204347">
        <w:t xml:space="preserve"> in addition to the upstream volume from the </w:t>
      </w:r>
      <w:r w:rsidR="00E4417B">
        <w:t xml:space="preserve">GT </w:t>
      </w:r>
      <w:r w:rsidR="00204347">
        <w:t>exhaust onwards</w:t>
      </w:r>
      <w:r w:rsidR="00F74B57">
        <w:t>. In other words, if the desired temperature is reached in the HP evap</w:t>
      </w:r>
      <w:r w:rsidR="00204347">
        <w:t>orator</w:t>
      </w:r>
      <w:r w:rsidR="00F74B57">
        <w:t>, then the entire volume of the HP evap</w:t>
      </w:r>
      <w:r w:rsidR="00204347">
        <w:t>orator</w:t>
      </w:r>
      <w:r w:rsidR="00F74B57">
        <w:t xml:space="preserve"> (and all upstream volume) must be used</w:t>
      </w:r>
      <w:r w:rsidR="00204347">
        <w:t>.</w:t>
      </w:r>
      <w:r w:rsidR="00F74B57">
        <w:t xml:space="preserve"> Additionally, the NFPA 85 requires that the volume must be at least through the outlet of the first evaporator. </w:t>
      </w:r>
    </w:p>
    <w:p w:rsidR="00F74B57" w:rsidRDefault="00F74B57" w:rsidP="00F74B57">
      <w:pPr>
        <w:pStyle w:val="ListParagraph"/>
      </w:pPr>
    </w:p>
    <w:p w:rsidR="006938EB" w:rsidRDefault="004830B0" w:rsidP="00F74B57">
      <w:pPr>
        <w:pStyle w:val="ListParagraph"/>
      </w:pPr>
      <w:r>
        <w:lastRenderedPageBreak/>
        <w:t>Below there</w:t>
      </w:r>
      <w:r w:rsidR="00F74B57">
        <w:t xml:space="preserve"> is an example analysis from a</w:t>
      </w:r>
      <w:r>
        <w:t xml:space="preserve"> particular</w:t>
      </w:r>
      <w:r w:rsidR="00F74B57">
        <w:t xml:space="preserve"> site. </w:t>
      </w:r>
      <w:r w:rsidR="00204347">
        <w:t>The</w:t>
      </w:r>
      <w:r w:rsidR="00F74B57">
        <w:t xml:space="preserve"> temperature drops below</w:t>
      </w:r>
      <w:r w:rsidR="00204347">
        <w:t xml:space="preserve"> </w:t>
      </w:r>
      <w:r w:rsidR="00E4417B">
        <w:t>[</w:t>
      </w:r>
      <w:r w:rsidR="00204347">
        <w:t>AIT -56C</w:t>
      </w:r>
      <w:r w:rsidR="00E4417B">
        <w:t>]</w:t>
      </w:r>
      <w:r w:rsidR="00204347">
        <w:t xml:space="preserve"> </w:t>
      </w:r>
      <w:r>
        <w:t xml:space="preserve">within the HP evaporator. </w:t>
      </w:r>
    </w:p>
    <w:p w:rsidR="00F74B57" w:rsidRDefault="00F74B57" w:rsidP="00F74B57">
      <w:r w:rsidRPr="00F74B57">
        <w:rPr>
          <w:noProof/>
        </w:rPr>
        <w:drawing>
          <wp:inline distT="0" distB="0" distL="0" distR="0" wp14:anchorId="6C66D8D4" wp14:editId="5C4743E7">
            <wp:extent cx="5943600" cy="51187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5118735"/>
                    </a:xfrm>
                    <a:prstGeom prst="rect">
                      <a:avLst/>
                    </a:prstGeom>
                  </pic:spPr>
                </pic:pic>
              </a:graphicData>
            </a:graphic>
          </wp:inline>
        </w:drawing>
      </w:r>
    </w:p>
    <w:p w:rsidR="00F74B57" w:rsidRDefault="00F74B57" w:rsidP="00F74B57"/>
    <w:p w:rsidR="00F74B57" w:rsidRDefault="00F74B57" w:rsidP="00F74B57">
      <w:pPr>
        <w:pStyle w:val="ListParagraph"/>
        <w:numPr>
          <w:ilvl w:val="0"/>
          <w:numId w:val="2"/>
        </w:numPr>
      </w:pPr>
      <w:r>
        <w:t xml:space="preserve">Sum up the volume of all the required HRSG components determined in step 2. Then subtract the volume of the tubes in each of these components. If the tube volumes are not available, </w:t>
      </w:r>
      <w:r w:rsidR="004830B0">
        <w:t>they can be dismissed as it</w:t>
      </w:r>
      <w:r>
        <w:t xml:space="preserve"> </w:t>
      </w:r>
      <w:proofErr w:type="gramStart"/>
      <w:r>
        <w:t>make</w:t>
      </w:r>
      <w:proofErr w:type="gramEnd"/>
      <w:r>
        <w:t xml:space="preserve"> the </w:t>
      </w:r>
      <w:r w:rsidR="004830B0">
        <w:t xml:space="preserve">calculated </w:t>
      </w:r>
      <w:r>
        <w:t xml:space="preserve">volume more conservative. </w:t>
      </w:r>
    </w:p>
    <w:p w:rsidR="00931309" w:rsidRDefault="00931309" w:rsidP="00F74B57">
      <w:pPr>
        <w:pStyle w:val="ListParagraph"/>
        <w:numPr>
          <w:ilvl w:val="0"/>
          <w:numId w:val="2"/>
        </w:numPr>
      </w:pPr>
      <w:r>
        <w:t xml:space="preserve">Now the GT Exhaust frame and diffuser volume must be added to the HRSG volume which has been determined. This volume is standard by frame. See table 1 below for the appropriate volume by frame. </w:t>
      </w:r>
    </w:p>
    <w:p w:rsidR="00931309" w:rsidRDefault="00931309">
      <w:r>
        <w:br w:type="page"/>
      </w:r>
    </w:p>
    <w:p w:rsidR="00931309" w:rsidRDefault="00931309" w:rsidP="00931309">
      <w:pPr>
        <w:jc w:val="center"/>
      </w:pPr>
      <w:r>
        <w:lastRenderedPageBreak/>
        <w:t xml:space="preserve">Table 1 – GT </w:t>
      </w:r>
      <w:proofErr w:type="spellStart"/>
      <w:r>
        <w:t>Exh</w:t>
      </w:r>
      <w:proofErr w:type="spellEnd"/>
      <w:r>
        <w:t xml:space="preserve"> Volumes by Frame</w:t>
      </w:r>
    </w:p>
    <w:tbl>
      <w:tblPr>
        <w:tblW w:w="2640" w:type="dxa"/>
        <w:jc w:val="center"/>
        <w:tblInd w:w="103" w:type="dxa"/>
        <w:tblLook w:val="04A0" w:firstRow="1" w:lastRow="0" w:firstColumn="1" w:lastColumn="0" w:noHBand="0" w:noVBand="1"/>
      </w:tblPr>
      <w:tblGrid>
        <w:gridCol w:w="1680"/>
        <w:gridCol w:w="1072"/>
      </w:tblGrid>
      <w:tr w:rsidR="00931309" w:rsidRPr="00931309" w:rsidTr="00931309">
        <w:trPr>
          <w:trHeight w:val="600"/>
          <w:jc w:val="center"/>
        </w:trPr>
        <w:tc>
          <w:tcPr>
            <w:tcW w:w="1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b/>
                <w:bCs/>
                <w:color w:val="000000"/>
              </w:rPr>
            </w:pPr>
            <w:r w:rsidRPr="00931309">
              <w:rPr>
                <w:rFonts w:ascii="Arial" w:eastAsia="Times New Roman" w:hAnsi="Arial" w:cs="Arial"/>
                <w:b/>
                <w:bCs/>
                <w:color w:val="000000"/>
              </w:rPr>
              <w:t>Frame</w:t>
            </w:r>
          </w:p>
        </w:tc>
        <w:tc>
          <w:tcPr>
            <w:tcW w:w="960" w:type="dxa"/>
            <w:tcBorders>
              <w:top w:val="single" w:sz="4" w:space="0" w:color="auto"/>
              <w:left w:val="nil"/>
              <w:bottom w:val="single" w:sz="4" w:space="0" w:color="auto"/>
              <w:right w:val="single" w:sz="4" w:space="0" w:color="auto"/>
            </w:tcBorders>
            <w:shd w:val="clear" w:color="000000" w:fill="92D050"/>
            <w:vAlign w:val="bottom"/>
            <w:hideMark/>
          </w:tcPr>
          <w:p w:rsidR="00931309" w:rsidRPr="00931309" w:rsidRDefault="00931309" w:rsidP="00931309">
            <w:pPr>
              <w:spacing w:after="0" w:line="240" w:lineRule="auto"/>
              <w:jc w:val="center"/>
              <w:rPr>
                <w:rFonts w:ascii="Arial" w:eastAsia="Times New Roman" w:hAnsi="Arial" w:cs="Arial"/>
                <w:b/>
                <w:bCs/>
                <w:color w:val="000000"/>
              </w:rPr>
            </w:pPr>
            <w:r w:rsidRPr="00931309">
              <w:rPr>
                <w:rFonts w:ascii="Arial" w:eastAsia="Times New Roman" w:hAnsi="Arial" w:cs="Arial"/>
                <w:b/>
                <w:bCs/>
                <w:color w:val="000000"/>
              </w:rPr>
              <w:t>Exhaust volume</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 xml:space="preserve">cu </w:t>
            </w:r>
            <w:proofErr w:type="spellStart"/>
            <w:r w:rsidRPr="00931309">
              <w:rPr>
                <w:rFonts w:ascii="Arial" w:eastAsia="Times New Roman" w:hAnsi="Arial" w:cs="Arial"/>
                <w:color w:val="000000"/>
              </w:rPr>
              <w:t>ft</w:t>
            </w:r>
            <w:proofErr w:type="spellEnd"/>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9E.03</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4908</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 xml:space="preserve">9E </w:t>
            </w:r>
          </w:p>
        </w:tc>
        <w:tc>
          <w:tcPr>
            <w:tcW w:w="960" w:type="dxa"/>
            <w:tcBorders>
              <w:top w:val="nil"/>
              <w:left w:val="nil"/>
              <w:bottom w:val="single" w:sz="4" w:space="0" w:color="auto"/>
              <w:right w:val="single" w:sz="4" w:space="0" w:color="auto"/>
            </w:tcBorders>
            <w:shd w:val="clear" w:color="000000" w:fill="FFFF00"/>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4908</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9E CSEPEL</w:t>
            </w:r>
          </w:p>
        </w:tc>
        <w:tc>
          <w:tcPr>
            <w:tcW w:w="960" w:type="dxa"/>
            <w:tcBorders>
              <w:top w:val="nil"/>
              <w:left w:val="nil"/>
              <w:bottom w:val="single" w:sz="4" w:space="0" w:color="auto"/>
              <w:right w:val="single" w:sz="4" w:space="0" w:color="auto"/>
            </w:tcBorders>
            <w:shd w:val="clear" w:color="000000" w:fill="FFFF00"/>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4908</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9F.03</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6427</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9F.05 (9FB.03)</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7381</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9HA.01</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8015</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7E.03</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 </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7F.03</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 </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7F.05</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5395</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7F.05</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5395</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7HA.01</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 </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7HA.02</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 </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6B.03</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883</w:t>
            </w:r>
          </w:p>
        </w:tc>
      </w:tr>
      <w:tr w:rsidR="00931309" w:rsidRPr="00931309" w:rsidTr="00931309">
        <w:trPr>
          <w:trHeight w:val="300"/>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rPr>
                <w:rFonts w:ascii="Arial" w:eastAsia="Times New Roman" w:hAnsi="Arial" w:cs="Arial"/>
                <w:color w:val="000000"/>
              </w:rPr>
            </w:pPr>
            <w:r w:rsidRPr="00931309">
              <w:rPr>
                <w:rFonts w:ascii="Arial" w:eastAsia="Times New Roman" w:hAnsi="Arial" w:cs="Arial"/>
                <w:color w:val="000000"/>
              </w:rPr>
              <w:t>6F.03</w:t>
            </w:r>
          </w:p>
        </w:tc>
        <w:tc>
          <w:tcPr>
            <w:tcW w:w="960" w:type="dxa"/>
            <w:tcBorders>
              <w:top w:val="nil"/>
              <w:left w:val="nil"/>
              <w:bottom w:val="single" w:sz="4" w:space="0" w:color="auto"/>
              <w:right w:val="single" w:sz="4" w:space="0" w:color="auto"/>
            </w:tcBorders>
            <w:shd w:val="clear" w:color="auto" w:fill="auto"/>
            <w:noWrap/>
            <w:vAlign w:val="bottom"/>
            <w:hideMark/>
          </w:tcPr>
          <w:p w:rsidR="00931309" w:rsidRPr="00931309" w:rsidRDefault="00931309" w:rsidP="00931309">
            <w:pPr>
              <w:spacing w:after="0" w:line="240" w:lineRule="auto"/>
              <w:jc w:val="center"/>
              <w:rPr>
                <w:rFonts w:ascii="Arial" w:eastAsia="Times New Roman" w:hAnsi="Arial" w:cs="Arial"/>
                <w:color w:val="000000"/>
              </w:rPr>
            </w:pPr>
            <w:r w:rsidRPr="00931309">
              <w:rPr>
                <w:rFonts w:ascii="Arial" w:eastAsia="Times New Roman" w:hAnsi="Arial" w:cs="Arial"/>
                <w:color w:val="000000"/>
              </w:rPr>
              <w:t>1377</w:t>
            </w:r>
          </w:p>
        </w:tc>
      </w:tr>
    </w:tbl>
    <w:p w:rsidR="00931309" w:rsidRDefault="00931309" w:rsidP="00931309"/>
    <w:p w:rsidR="00F74B57" w:rsidRDefault="00931309" w:rsidP="00F74B57">
      <w:pPr>
        <w:pStyle w:val="ListParagraph"/>
        <w:numPr>
          <w:ilvl w:val="0"/>
          <w:numId w:val="2"/>
        </w:numPr>
      </w:pPr>
      <w:r>
        <w:t>Finally, the sum of the volumes from Step 3 &amp; Step 4</w:t>
      </w:r>
      <w:r w:rsidR="00DE3051">
        <w:t xml:space="preserve"> </w:t>
      </w:r>
      <w:r w:rsidR="004830B0">
        <w:t>is multiplied by 5</w:t>
      </w:r>
      <w:r w:rsidR="00DE3051">
        <w:t>. This is</w:t>
      </w:r>
      <w:r w:rsidR="004830B0">
        <w:t xml:space="preserve"> the</w:t>
      </w:r>
      <w:r w:rsidR="00DE3051">
        <w:t xml:space="preserve"> NFPA purge volume. A typical 7F05 NFPA 85 purge volume for a CC plant is 540,000 ft^3. </w:t>
      </w:r>
      <w:bookmarkStart w:id="0" w:name="_GoBack"/>
      <w:bookmarkEnd w:id="0"/>
    </w:p>
    <w:sectPr w:rsidR="00F74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83429"/>
    <w:multiLevelType w:val="hybridMultilevel"/>
    <w:tmpl w:val="06CAB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4525DAD"/>
    <w:multiLevelType w:val="hybridMultilevel"/>
    <w:tmpl w:val="F16E9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29A"/>
    <w:rsid w:val="00142DAC"/>
    <w:rsid w:val="00154483"/>
    <w:rsid w:val="00204347"/>
    <w:rsid w:val="0024225C"/>
    <w:rsid w:val="004830B0"/>
    <w:rsid w:val="004E75FF"/>
    <w:rsid w:val="006938EB"/>
    <w:rsid w:val="00715F41"/>
    <w:rsid w:val="00931309"/>
    <w:rsid w:val="009C53A0"/>
    <w:rsid w:val="00A12E1C"/>
    <w:rsid w:val="00B02DCB"/>
    <w:rsid w:val="00C8429A"/>
    <w:rsid w:val="00CD6FC8"/>
    <w:rsid w:val="00D0787C"/>
    <w:rsid w:val="00DE3051"/>
    <w:rsid w:val="00E4417B"/>
    <w:rsid w:val="00E60257"/>
    <w:rsid w:val="00E60648"/>
    <w:rsid w:val="00F74B57"/>
    <w:rsid w:val="00F80383"/>
    <w:rsid w:val="00F81E53"/>
    <w:rsid w:val="00FF2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06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648"/>
    <w:rPr>
      <w:rFonts w:ascii="Tahoma" w:hAnsi="Tahoma" w:cs="Tahoma"/>
      <w:sz w:val="16"/>
      <w:szCs w:val="16"/>
    </w:rPr>
  </w:style>
  <w:style w:type="paragraph" w:styleId="ListParagraph">
    <w:name w:val="List Paragraph"/>
    <w:basedOn w:val="Normal"/>
    <w:uiPriority w:val="34"/>
    <w:qFormat/>
    <w:rsid w:val="00E6064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06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648"/>
    <w:rPr>
      <w:rFonts w:ascii="Tahoma" w:hAnsi="Tahoma" w:cs="Tahoma"/>
      <w:sz w:val="16"/>
      <w:szCs w:val="16"/>
    </w:rPr>
  </w:style>
  <w:style w:type="paragraph" w:styleId="ListParagraph">
    <w:name w:val="List Paragraph"/>
    <w:basedOn w:val="Normal"/>
    <w:uiPriority w:val="34"/>
    <w:qFormat/>
    <w:rsid w:val="00E606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055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Excel_97-2003_Worksheet1.xls"/><Relationship Id="rId3" Type="http://schemas.microsoft.com/office/2007/relationships/stylesWithEffects" Target="stylesWithEffect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GE</Company>
  <LinksUpToDate>false</LinksUpToDate>
  <CharactersWithSpaces>4101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Loeven</dc:creator>
  <cp:lastModifiedBy>Robert Loeven</cp:lastModifiedBy>
  <cp:revision>2</cp:revision>
  <dcterms:created xsi:type="dcterms:W3CDTF">2016-07-25T07:54:00Z</dcterms:created>
  <dcterms:modified xsi:type="dcterms:W3CDTF">2016-07-25T07:54:00Z</dcterms:modified>
</cp:coreProperties>
</file>