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CHANGE LEADERSHIP</w:t>
      </w:r>
    </w:p>
    <w:p>
      <w:pPr>
        <w:spacing w:after="200"/>
        <w:jc w:val="center"/>
      </w:pPr>
      <w:r>
        <w:rPr>
          <w:b/>
          <w:bCs/>
          <w:color w:val="2E74B5"/>
          <w:sz w:val="44"/>
          <w:szCs w:val="44"/>
        </w:rPr>
        <w:t xml:space="preserve">SELF-ASSESSMENT PORTFOLIO</w:t>
      </w:r>
    </w:p>
    <w:p>
      <w:pPr>
        <w:pBdr>
          <w:bottom w:val="single" w:color="2E74B5" w:sz="12" w:space="10"/>
        </w:pBdr>
        <w:spacing w:after="500"/>
        <w:jc w:val="center"/>
      </w:pPr>
      <w:r>
        <w:rPr>
          <w:i/>
          <w:iCs/>
          <w:color w:val="595959"/>
          <w:sz w:val="22"/>
          <w:szCs w:val="22"/>
        </w:rPr>
        <w:t xml:space="preserve">A reflection on strengths, growth areas, and lessons from a late-career transition into software engineering</w:t>
      </w:r>
    </w:p>
    <w:p>
      <w:pPr>
        <w:pStyle w:val="Heading1"/>
        <w:pBdr>
          <w:bottom w:val="single" w:color="2E74B5" w:sz="6" w:space="4"/>
        </w:pBdr>
        <w:spacing w:after="200" w:before="400"/>
      </w:pPr>
      <w:r>
        <w:rPr>
          <w:b/>
          <w:bCs/>
          <w:color w:val="1F3864"/>
          <w:sz w:val="30"/>
          <w:szCs w:val="30"/>
        </w:rPr>
        <w:t xml:space="preserve">Introduction</w:t>
      </w:r>
    </w:p>
    <w:p>
      <w:pPr>
        <w:spacing w:after="200" w:line="300"/>
      </w:pPr>
      <w:r>
        <w:rPr>
          <w:color w:val="262626"/>
          <w:sz w:val="22"/>
          <w:szCs w:val="22"/>
        </w:rPr>
        <w:t xml:space="preserve">I came into software engineering later in life, and that path has shaped how I show up as a leader of change — both for myself and for the people around me. This portfolio brings together two self-assessments — the Center for Creative Leadership's (CCL) framework for change leaders and a separate Change Management Skills assessment — to identify where my strengths already serve me, where I still need to grow, and what I've learned from comparing the two tools side by side.</w:t>
      </w:r>
    </w:p>
    <w:p>
      <w:pPr>
        <w:pStyle w:val="Heading1"/>
        <w:pBdr>
          <w:bottom w:val="single" w:color="2E74B5" w:sz="6" w:space="4"/>
        </w:pBdr>
        <w:spacing w:after="200" w:before="400"/>
      </w:pPr>
      <w:r>
        <w:rPr>
          <w:b/>
          <w:bCs/>
          <w:color w:val="1F3864"/>
          <w:sz w:val="30"/>
          <w:szCs w:val="30"/>
        </w:rPr>
        <w:t xml:space="preserve">My Top Strengths</w:t>
      </w:r>
    </w:p>
    <w:p>
      <w:pPr>
        <w:pStyle w:val="Heading2"/>
        <w:spacing w:after="120" w:before="280"/>
      </w:pPr>
      <w:r>
        <w:rPr>
          <w:b/>
          <w:bCs/>
          <w:color w:val="2E74B5"/>
          <w:sz w:val="24"/>
          <w:szCs w:val="24"/>
        </w:rPr>
        <w:t xml:space="preserve">From the CCL Change Leader Article</w:t>
      </w:r>
    </w:p>
    <w:p>
      <w:pPr>
        <w:spacing w:after="200" w:line="300"/>
      </w:pPr>
      <w:r>
        <w:rPr>
          <w:color w:val="262626"/>
          <w:sz w:val="22"/>
          <w:szCs w:val="22"/>
        </w:rPr>
        <w:t xml:space="preserve">My top three strengths are communication, commitment, and support.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E2F3" w:val="clear"/>
            <w:tcMar>
              <w:top w:type="dxa" w:w="120"/>
              <w:left w:type="dxa" w:w="150"/>
              <w:bottom w:type="dxa" w:w="120"/>
              <w:right w:type="dxa" w:w="150"/>
            </w:tcMar>
          </w:tcPr>
          <w:p>
            <w:r>
              <w:rPr>
                <w:b/>
                <w:bCs/>
                <w:color w:val="1F3864"/>
                <w:sz w:val="21"/>
                <w:szCs w:val="21"/>
              </w:rPr>
              <w:t xml:space="preserve">Communication</w:t>
            </w:r>
          </w:p>
        </w:tc>
        <w:tc>
          <w:tcPr>
            <w:tcW w:type="dxa" w:w="6950"/>
            <w:shd w:fill="FFFFFF" w:val="clear"/>
            <w:tcMar>
              <w:top w:type="dxa" w:w="120"/>
              <w:left w:type="dxa" w:w="150"/>
              <w:bottom w:type="dxa" w:w="120"/>
              <w:right w:type="dxa" w:w="150"/>
            </w:tcMar>
          </w:tcPr>
          <w:p>
            <w:r>
              <w:rPr>
                <w:color w:val="262626"/>
                <w:sz w:val="21"/>
                <w:szCs w:val="21"/>
              </w:rPr>
              <w:t xml:space="preserve">Having had to explain my career transition to many people, I built a natural ability to communicate the why behind decisions, not just the what.</w:t>
            </w:r>
          </w:p>
        </w:tc>
      </w:tr>
      <w:tr>
        <w:tc>
          <w:tcPr>
            <w:tcW w:type="dxa" w:w="2400"/>
            <w:shd w:fill="EEF2FA" w:val="clear"/>
            <w:tcMar>
              <w:top w:type="dxa" w:w="120"/>
              <w:left w:type="dxa" w:w="150"/>
              <w:bottom w:type="dxa" w:w="120"/>
              <w:right w:type="dxa" w:w="150"/>
            </w:tcMar>
          </w:tcPr>
          <w:p>
            <w:r>
              <w:rPr>
                <w:b/>
                <w:bCs/>
                <w:color w:val="1F3864"/>
                <w:sz w:val="21"/>
                <w:szCs w:val="21"/>
              </w:rPr>
              <w:t xml:space="preserve">Commitment</w:t>
            </w:r>
          </w:p>
        </w:tc>
        <w:tc>
          <w:tcPr>
            <w:tcW w:type="dxa" w:w="6950"/>
            <w:shd w:fill="FFFFFF" w:val="clear"/>
            <w:tcMar>
              <w:top w:type="dxa" w:w="120"/>
              <w:left w:type="dxa" w:w="150"/>
              <w:bottom w:type="dxa" w:w="120"/>
              <w:right w:type="dxa" w:w="150"/>
            </w:tcMar>
          </w:tcPr>
          <w:p>
            <w:r>
              <w:rPr>
                <w:color w:val="262626"/>
                <w:sz w:val="21"/>
                <w:szCs w:val="21"/>
              </w:rPr>
              <w:t xml:space="preserve">Commitment comes naturally to me because I chose this path intentionally, and I genuinely believe in what I am doing.</w:t>
            </w:r>
          </w:p>
        </w:tc>
      </w:tr>
      <w:tr>
        <w:tc>
          <w:tcPr>
            <w:tcW w:type="dxa" w:w="2400"/>
            <w:shd w:fill="EEF2FA" w:val="clear"/>
            <w:tcMar>
              <w:top w:type="dxa" w:w="120"/>
              <w:left w:type="dxa" w:w="150"/>
              <w:bottom w:type="dxa" w:w="120"/>
              <w:right w:type="dxa" w:w="150"/>
            </w:tcMar>
          </w:tcPr>
          <w:p>
            <w:r>
              <w:rPr>
                <w:b/>
                <w:bCs/>
                <w:color w:val="1F3864"/>
                <w:sz w:val="21"/>
                <w:szCs w:val="21"/>
              </w:rPr>
              <w:t xml:space="preserve">Support</w:t>
            </w:r>
          </w:p>
        </w:tc>
        <w:tc>
          <w:tcPr>
            <w:tcW w:type="dxa" w:w="6950"/>
            <w:shd w:fill="FFFFFF" w:val="clear"/>
            <w:tcMar>
              <w:top w:type="dxa" w:w="120"/>
              <w:left w:type="dxa" w:w="150"/>
              <w:bottom w:type="dxa" w:w="120"/>
              <w:right w:type="dxa" w:w="150"/>
            </w:tcMar>
          </w:tcPr>
          <w:p>
            <w:r>
              <w:rPr>
                <w:color w:val="262626"/>
                <w:sz w:val="21"/>
                <w:szCs w:val="21"/>
              </w:rPr>
              <w:t xml:space="preserve">I know what it feels like to be new and overwhelmed, so removing barriers for others comes instinctively — I practice this daily.</w:t>
            </w:r>
          </w:p>
        </w:tc>
      </w:tr>
    </w:tbl>
    <w:p>
      <w:pPr>
        <w:pStyle w:val="Heading2"/>
        <w:spacing w:after="120" w:before="280"/>
      </w:pPr>
      <w:r>
        <w:rPr>
          <w:b/>
          <w:bCs/>
          <w:color w:val="2E74B5"/>
          <w:sz w:val="24"/>
          <w:szCs w:val="24"/>
        </w:rPr>
        <w:t xml:space="preserve">From the Change Management Skills Assessment</w:t>
      </w:r>
    </w:p>
    <w:p>
      <w:pPr>
        <w:spacing w:after="200" w:line="300"/>
      </w:pPr>
      <w:r>
        <w:rPr>
          <w:color w:val="262626"/>
          <w:sz w:val="22"/>
          <w:szCs w:val="22"/>
        </w:rPr>
        <w:t xml:space="preserve">My top three strengths are adaptability, resilience, and emotional intelligence.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E2F3" w:val="clear"/>
            <w:tcMar>
              <w:top w:type="dxa" w:w="120"/>
              <w:left w:type="dxa" w:w="150"/>
              <w:bottom w:type="dxa" w:w="120"/>
              <w:right w:type="dxa" w:w="150"/>
            </w:tcMar>
          </w:tcPr>
          <w:p>
            <w:r>
              <w:rPr>
                <w:b/>
                <w:bCs/>
                <w:color w:val="1F3864"/>
                <w:sz w:val="21"/>
                <w:szCs w:val="21"/>
              </w:rPr>
              <w:t xml:space="preserve">Adaptability</w:t>
            </w:r>
          </w:p>
        </w:tc>
        <w:tc>
          <w:tcPr>
            <w:tcW w:type="dxa" w:w="6950"/>
            <w:shd w:fill="FFFFFF" w:val="clear"/>
            <w:tcMar>
              <w:top w:type="dxa" w:w="120"/>
              <w:left w:type="dxa" w:w="150"/>
              <w:bottom w:type="dxa" w:w="120"/>
              <w:right w:type="dxa" w:w="150"/>
            </w:tcMar>
          </w:tcPr>
          <w:p>
            <w:r>
              <w:rPr>
                <w:color w:val="262626"/>
                <w:sz w:val="21"/>
                <w:szCs w:val="21"/>
              </w:rPr>
              <w:t xml:space="preserve">Starting over in my thirties in a completely new field forced me to embrace uncertainty quickly.</w:t>
            </w:r>
          </w:p>
        </w:tc>
      </w:tr>
      <w:tr>
        <w:tc>
          <w:tcPr>
            <w:tcW w:type="dxa" w:w="2400"/>
            <w:shd w:fill="EEF2FA" w:val="clear"/>
            <w:tcMar>
              <w:top w:type="dxa" w:w="120"/>
              <w:left w:type="dxa" w:w="150"/>
              <w:bottom w:type="dxa" w:w="120"/>
              <w:right w:type="dxa" w:w="150"/>
            </w:tcMar>
          </w:tcPr>
          <w:p>
            <w:r>
              <w:rPr>
                <w:b/>
                <w:bCs/>
                <w:color w:val="1F3864"/>
                <w:sz w:val="21"/>
                <w:szCs w:val="21"/>
              </w:rPr>
              <w:t xml:space="preserve">Resilience</w:t>
            </w:r>
          </w:p>
        </w:tc>
        <w:tc>
          <w:tcPr>
            <w:tcW w:type="dxa" w:w="6950"/>
            <w:shd w:fill="FFFFFF" w:val="clear"/>
            <w:tcMar>
              <w:top w:type="dxa" w:w="120"/>
              <w:left w:type="dxa" w:w="150"/>
              <w:bottom w:type="dxa" w:w="120"/>
              <w:right w:type="dxa" w:w="150"/>
            </w:tcMar>
          </w:tcPr>
          <w:p>
            <w:r>
              <w:rPr>
                <w:color w:val="262626"/>
                <w:sz w:val="21"/>
                <w:szCs w:val="21"/>
              </w:rPr>
              <w:t xml:space="preserve">Staying flexible when things did not go as planned built genuine resilience over time.</w:t>
            </w:r>
          </w:p>
        </w:tc>
      </w:tr>
      <w:tr>
        <w:tc>
          <w:tcPr>
            <w:tcW w:type="dxa" w:w="2400"/>
            <w:shd w:fill="EEF2FA" w:val="clear"/>
            <w:tcMar>
              <w:top w:type="dxa" w:w="120"/>
              <w:left w:type="dxa" w:w="150"/>
              <w:bottom w:type="dxa" w:w="120"/>
              <w:right w:type="dxa" w:w="150"/>
            </w:tcMar>
          </w:tcPr>
          <w:p>
            <w:r>
              <w:rPr>
                <w:b/>
                <w:bCs/>
                <w:color w:val="1F3864"/>
                <w:sz w:val="21"/>
                <w:szCs w:val="21"/>
              </w:rPr>
              <w:t xml:space="preserve">Emotional Intelligence</w:t>
            </w:r>
          </w:p>
        </w:tc>
        <w:tc>
          <w:tcPr>
            <w:tcW w:type="dxa" w:w="6950"/>
            <w:shd w:fill="FFFFFF" w:val="clear"/>
            <w:tcMar>
              <w:top w:type="dxa" w:w="120"/>
              <w:left w:type="dxa" w:w="150"/>
              <w:bottom w:type="dxa" w:w="120"/>
              <w:right w:type="dxa" w:w="150"/>
            </w:tcMar>
          </w:tcPr>
          <w:p>
            <w:r>
              <w:rPr>
                <w:color w:val="262626"/>
                <w:sz w:val="21"/>
                <w:szCs w:val="21"/>
              </w:rPr>
              <w:t xml:space="preserve">Having lived enough life to understand other people's fears and frustrations gives me an edge over someone who went straight from school into this career.</w:t>
            </w:r>
          </w:p>
        </w:tc>
      </w:tr>
    </w:tbl>
    <w:p>
      <w:pPr>
        <w:pStyle w:val="Heading1"/>
        <w:pBdr>
          <w:bottom w:val="single" w:color="2E74B5" w:sz="6" w:space="4"/>
        </w:pBdr>
        <w:spacing w:after="200" w:before="400"/>
      </w:pPr>
      <w:r>
        <w:rPr>
          <w:b/>
          <w:bCs/>
          <w:color w:val="1F3864"/>
          <w:sz w:val="30"/>
          <w:szCs w:val="30"/>
        </w:rPr>
        <w:t xml:space="preserve">Where I Need to Grow</w:t>
      </w:r>
    </w:p>
    <w:p>
      <w:pPr>
        <w:pStyle w:val="Heading2"/>
        <w:spacing w:after="120" w:before="280"/>
      </w:pPr>
      <w:r>
        <w:rPr>
          <w:b/>
          <w:bCs/>
          <w:color w:val="2E74B5"/>
          <w:sz w:val="24"/>
          <w:szCs w:val="24"/>
        </w:rPr>
        <w:t xml:space="preserve">From the CCL Article</w:t>
      </w:r>
    </w:p>
    <w:p>
      <w:pPr>
        <w:spacing w:after="200" w:line="300"/>
      </w:pPr>
      <w:r>
        <w:rPr>
          <w:color w:val="262626"/>
          <w:sz w:val="22"/>
          <w:szCs w:val="22"/>
        </w:rPr>
        <w:t xml:space="preserve">I need to grow in strategizing, executing, and swaying.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D9E2F3" w:val="clear"/>
            <w:tcMar>
              <w:top w:type="dxa" w:w="120"/>
              <w:left w:type="dxa" w:w="150"/>
              <w:bottom w:type="dxa" w:w="120"/>
              <w:right w:type="dxa" w:w="150"/>
            </w:tcMar>
          </w:tcPr>
          <w:p>
            <w:r>
              <w:rPr>
                <w:b/>
                <w:bCs/>
                <w:color w:val="1F3864"/>
                <w:sz w:val="21"/>
                <w:szCs w:val="21"/>
              </w:rPr>
              <w:t xml:space="preserve">Strategizing</w:t>
            </w:r>
          </w:p>
        </w:tc>
        <w:tc>
          <w:tcPr>
            <w:tcW w:type="dxa" w:w="6950"/>
            <w:shd w:fill="FFFFFF" w:val="clear"/>
            <w:tcMar>
              <w:top w:type="dxa" w:w="120"/>
              <w:left w:type="dxa" w:w="150"/>
              <w:bottom w:type="dxa" w:w="120"/>
              <w:right w:type="dxa" w:w="150"/>
            </w:tcMar>
          </w:tcPr>
          <w:p>
            <w:r>
              <w:rPr>
                <w:color w:val="262626"/>
                <w:sz w:val="21"/>
                <w:szCs w:val="21"/>
              </w:rPr>
              <w:t xml:space="preserve">I am still learning how to create structured plans with clear timelines and measurable outcomes.</w:t>
            </w:r>
          </w:p>
        </w:tc>
      </w:tr>
      <w:tr>
        <w:tc>
          <w:tcPr>
            <w:tcW w:type="dxa" w:w="2400"/>
            <w:shd w:fill="EEF2FA" w:val="clear"/>
            <w:tcMar>
              <w:top w:type="dxa" w:w="120"/>
              <w:left w:type="dxa" w:w="150"/>
              <w:bottom w:type="dxa" w:w="120"/>
              <w:right w:type="dxa" w:w="150"/>
            </w:tcMar>
          </w:tcPr>
          <w:p>
            <w:r>
              <w:rPr>
                <w:b/>
                <w:bCs/>
                <w:color w:val="1F3864"/>
                <w:sz w:val="21"/>
                <w:szCs w:val="21"/>
              </w:rPr>
              <w:t xml:space="preserve">Executing</w:t>
            </w:r>
          </w:p>
        </w:tc>
        <w:tc>
          <w:tcPr>
            <w:tcW w:type="dxa" w:w="6950"/>
            <w:shd w:fill="FFFFFF" w:val="clear"/>
            <w:tcMar>
              <w:top w:type="dxa" w:w="120"/>
              <w:left w:type="dxa" w:w="150"/>
              <w:bottom w:type="dxa" w:w="120"/>
              <w:right w:type="dxa" w:w="150"/>
            </w:tcMar>
          </w:tcPr>
          <w:p>
            <w:r>
              <w:rPr>
                <w:color w:val="262626"/>
                <w:sz w:val="21"/>
                <w:szCs w:val="21"/>
              </w:rPr>
              <w:t xml:space="preserve">Execution is hard when you are still building technical confidence.</w:t>
            </w:r>
          </w:p>
        </w:tc>
      </w:tr>
      <w:tr>
        <w:tc>
          <w:tcPr>
            <w:tcW w:type="dxa" w:w="2400"/>
            <w:shd w:fill="EEF2FA" w:val="clear"/>
            <w:tcMar>
              <w:top w:type="dxa" w:w="120"/>
              <w:left w:type="dxa" w:w="150"/>
              <w:bottom w:type="dxa" w:w="120"/>
              <w:right w:type="dxa" w:w="150"/>
            </w:tcMar>
          </w:tcPr>
          <w:p>
            <w:r>
              <w:rPr>
                <w:b/>
                <w:bCs/>
                <w:color w:val="1F3864"/>
                <w:sz w:val="21"/>
                <w:szCs w:val="21"/>
              </w:rPr>
              <w:t xml:space="preserve">Swaying</w:t>
            </w:r>
          </w:p>
        </w:tc>
        <w:tc>
          <w:tcPr>
            <w:tcW w:type="dxa" w:w="6950"/>
            <w:shd w:fill="FFFFFF" w:val="clear"/>
            <w:tcMar>
              <w:top w:type="dxa" w:w="120"/>
              <w:left w:type="dxa" w:w="150"/>
              <w:bottom w:type="dxa" w:w="120"/>
              <w:right w:type="dxa" w:w="150"/>
            </w:tcMar>
          </w:tcPr>
          <w:p>
            <w:r>
              <w:rPr>
                <w:color w:val="262626"/>
                <w:sz w:val="21"/>
                <w:szCs w:val="21"/>
              </w:rPr>
              <w:t xml:space="preserve">Influencing key stakeholders is a skill that takes time and credibility to develop.</w:t>
            </w:r>
          </w:p>
        </w:tc>
      </w:tr>
    </w:tbl>
    <w:p>
      <w:pPr>
        <w:pStyle w:val="Heading2"/>
        <w:spacing w:after="120" w:before="280"/>
      </w:pPr>
      <w:r>
        <w:rPr>
          <w:b/>
          <w:bCs/>
          <w:color w:val="2E74B5"/>
          <w:sz w:val="24"/>
          <w:szCs w:val="24"/>
        </w:rPr>
        <w:t xml:space="preserve">From the Change Management Skills Assessment</w:t>
      </w:r>
    </w:p>
    <w:p>
      <w:pPr>
        <w:spacing w:after="200" w:line="300"/>
      </w:pPr>
      <w:r>
        <w:rPr>
          <w:color w:val="262626"/>
          <w:sz w:val="22"/>
          <w:szCs w:val="22"/>
        </w:rPr>
        <w:t xml:space="preserve">I need to improve in analytical problem-solving, leadership under pressure, and using diagnostic tools effectively. I tend to rely on intuition and communication rather than structured, data-driven thinking — a gap I am actively working to close.</w:t>
      </w:r>
    </w:p>
    <w:p>
      <w:pPr>
        <w:pStyle w:val="Heading1"/>
        <w:pBdr>
          <w:bottom w:val="single" w:color="2E74B5" w:sz="6" w:space="4"/>
        </w:pBdr>
        <w:spacing w:after="200" w:before="400"/>
      </w:pPr>
      <w:r>
        <w:rPr>
          <w:b/>
          <w:bCs/>
          <w:color w:val="1F3864"/>
          <w:sz w:val="30"/>
          <w:szCs w:val="30"/>
        </w:rPr>
        <w:t xml:space="preserve">Comparing the Two Assessments</w:t>
      </w:r>
    </w:p>
    <w:p>
      <w:pPr>
        <w:spacing w:after="200" w:line="300"/>
      </w:pPr>
      <w:r>
        <w:rPr>
          <w:color w:val="262626"/>
          <w:sz w:val="22"/>
          <w:szCs w:val="22"/>
        </w:rPr>
        <w:t xml:space="preserve">Both assessments are genuinely useful, but they work best together. The CCL article focuses on what change leaders actually do in the field, while the Change Strategists article focuses on how to evaluate and hire for those skills. As a newcomer, I found the CCL article more immediately practical, and the Change Strategists article more useful for understanding what growth looks like over time.</w:t>
      </w:r>
    </w:p>
    <w:p>
      <w:pPr>
        <w:pStyle w:val="Heading1"/>
        <w:pBdr>
          <w:bottom w:val="single" w:color="2E74B5" w:sz="6" w:space="4"/>
        </w:pBdr>
        <w:spacing w:after="200" w:before="400"/>
      </w:pPr>
      <w:r>
        <w:rPr>
          <w:b/>
          <w:bCs/>
          <w:color w:val="1F3864"/>
          <w:sz w:val="30"/>
          <w:szCs w:val="30"/>
        </w:rPr>
        <w:t xml:space="preserve">What I Would Change About These Resources</w:t>
      </w:r>
    </w:p>
    <w:p>
      <w:pPr>
        <w:pStyle w:val="ListParagraph"/>
        <w:numPr>
          <w:ilvl w:val="0"/>
          <w:numId w:val="1"/>
        </w:numPr>
        <w:spacing w:after="100" w:line="280"/>
      </w:pPr>
      <w:r>
        <w:rPr>
          <w:color w:val="262626"/>
          <w:sz w:val="22"/>
          <w:szCs w:val="22"/>
        </w:rPr>
        <w:t xml:space="preserve">Add a beginner-friendly self-assessment checklist to both articles — right now they assume the reader already has leadership experience.</w:t>
      </w:r>
    </w:p>
    <w:p>
      <w:pPr>
        <w:pStyle w:val="ListParagraph"/>
        <w:numPr>
          <w:ilvl w:val="0"/>
          <w:numId w:val="1"/>
        </w:numPr>
        <w:spacing w:after="100" w:line="280"/>
      </w:pPr>
      <w:r>
        <w:rPr>
          <w:color w:val="262626"/>
          <w:sz w:val="22"/>
          <w:szCs w:val="22"/>
        </w:rPr>
        <w:t xml:space="preserve">Delete the heavy corporate jargon that makes them feel less accessible to career changers.</w:t>
      </w:r>
    </w:p>
    <w:p>
      <w:pPr>
        <w:pStyle w:val="ListParagraph"/>
        <w:numPr>
          <w:ilvl w:val="0"/>
          <w:numId w:val="1"/>
        </w:numPr>
        <w:spacing w:after="100" w:line="280"/>
      </w:pPr>
      <w:r>
        <w:rPr>
          <w:color w:val="262626"/>
          <w:sz w:val="22"/>
          <w:szCs w:val="22"/>
        </w:rPr>
        <w:t xml:space="preserve">Edit both to include real stories from people who developed these skills later in life — most current examples assume someone who has been in leadership roles for decades, which does not reflect everyone reading them.</w:t>
      </w:r>
    </w:p>
    <w:p>
      <w:pPr>
        <w:pStyle w:val="Heading1"/>
        <w:pBdr>
          <w:bottom w:val="single" w:color="2E74B5" w:sz="6" w:space="4"/>
        </w:pBdr>
        <w:spacing w:after="200" w:before="400"/>
      </w:pPr>
      <w:r>
        <w:rPr>
          <w:b/>
          <w:bCs/>
          <w:color w:val="1F3864"/>
          <w:sz w:val="30"/>
          <w:szCs w:val="30"/>
        </w:rPr>
        <w:t xml:space="preserve">References</w:t>
      </w:r>
    </w:p>
    <w:p>
      <w:pPr>
        <w:pStyle w:val="ListParagraph"/>
        <w:numPr>
          <w:ilvl w:val="0"/>
          <w:numId w:val="1"/>
        </w:numPr>
        <w:spacing w:after="120"/>
      </w:pPr>
      <w:hyperlink w:history="1" r:id="rIdv80ictqhgcflgnemjuems">
        <w:r>
          <w:rPr>
            <w:rStyle w:val="Hyperlink"/>
            <w:color w:val="2E74B5"/>
            <w:u w:val="single"/>
          </w:rPr>
          <w:t xml:space="preserve">How to be a Successful Change Leader — CCL.org</w:t>
        </w:r>
      </w:hyperlink>
    </w:p>
    <w:p>
      <w:pPr>
        <w:pStyle w:val="ListParagraph"/>
        <w:numPr>
          <w:ilvl w:val="0"/>
          <w:numId w:val="1"/>
        </w:numPr>
        <w:spacing w:after="120"/>
      </w:pPr>
      <w:hyperlink w:history="1" r:id="rIdolra7p5-2zlieepev64u0">
        <w:r>
          <w:rPr>
            <w:rStyle w:val="Hyperlink"/>
            <w:color w:val="2E74B5"/>
            <w:u w:val="single"/>
          </w:rPr>
          <w:t xml:space="preserve">How to Assess Change Management Skills — Change Strategists</w:t>
        </w:r>
      </w:hyperlink>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80ictqhgcflgnemjuems" Type="http://schemas.openxmlformats.org/officeDocument/2006/relationships/hyperlink" Target="https://www.ccl.org/articles/leading-effectively-articles/successful-change-leader/" TargetMode="External"/><Relationship Id="rIdolra7p5-2zlieepev64u0" Type="http://schemas.openxmlformats.org/officeDocument/2006/relationships/hyperlink" Target="https://changestrategists.com/how-to-assess-change-management-skill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2026-07-11T20:02:00.839Z</dcterms:created>
  <dcterms:modified xsi:type="dcterms:W3CDTF">2026-07-11T20:02:00.851Z</dcterms:modified>
</cp:coreProperties>
</file>

<file path=docProps/custom.xml><?xml version="1.0" encoding="utf-8"?>
<Properties xmlns="http://schemas.openxmlformats.org/officeDocument/2006/custom-properties" xmlns:vt="http://schemas.openxmlformats.org/officeDocument/2006/docPropsVTypes"/>
</file>