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06 – Project Testing</w:t>
      </w:r>
    </w:p>
    <w:p>
      <w:pPr>
        <w:jc w:val="center"/>
      </w:pPr>
      <w:r>
        <w:rPr>
          <w:rFonts w:ascii="Arial" w:hAnsi="Arial"/>
          <w:b/>
          <w:sz w:val="26"/>
        </w:rPr>
        <w:t>Auto-Ticket Classification Using Flow Designer</w:t>
      </w:r>
    </w:p>
    <w:p>
      <w:r>
        <w:rPr>
          <w:b/>
          <w:sz w:val="26"/>
        </w:rPr>
        <w:t>Testing Objective</w:t>
      </w:r>
    </w:p>
    <w:p>
      <w:r>
        <w:t>The objective of testing is to verify that the Flow Designer classification process produces the expected Incident classification when relevant ticket information is supplied.</w:t>
      </w:r>
    </w:p>
    <w:p>
      <w:r>
        <w:rPr>
          <w:b/>
          <w:sz w:val="26"/>
        </w:rPr>
        <w:t>Testing Approach</w:t>
      </w:r>
    </w:p>
    <w:p>
      <w:pPr>
        <w:pStyle w:val="ListBullet"/>
      </w:pPr>
      <w:r>
        <w:t>Create or update an Incident with a known test description.</w:t>
      </w:r>
    </w:p>
    <w:p>
      <w:pPr>
        <w:pStyle w:val="ListBullet"/>
      </w:pPr>
      <w:r>
        <w:t>Verify that the configured trigger starts the flow.</w:t>
      </w:r>
    </w:p>
    <w:p>
      <w:pPr>
        <w:pStyle w:val="ListBullet"/>
      </w:pPr>
      <w:r>
        <w:t>Observe the decision branch selected by the flow.</w:t>
      </w:r>
    </w:p>
    <w:p>
      <w:pPr>
        <w:pStyle w:val="ListBullet"/>
      </w:pPr>
      <w:r>
        <w:t>Verify that the Update Record action changes the intended Incident field.</w:t>
      </w:r>
    </w:p>
    <w:p>
      <w:pPr>
        <w:pStyle w:val="ListBullet"/>
      </w:pPr>
      <w:r>
        <w:t>Test both matching and non-matching conditions.</w:t>
      </w:r>
    </w:p>
    <w:p>
      <w:pPr>
        <w:pStyle w:val="ListBullet"/>
      </w:pPr>
      <w:r>
        <w:t>Record actual results and capture screenshots.</w:t>
      </w:r>
    </w:p>
    <w:p>
      <w:r>
        <w:rPr>
          <w:b/>
          <w:sz w:val="26"/>
        </w:rP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TC01</w:t>
            </w:r>
          </w:p>
        </w:tc>
        <w:tc>
          <w:tcPr>
            <w:tcW w:type="dxa" w:w="2556"/>
            <w:vAlign w:val="center"/>
          </w:tcPr>
          <w:p>
            <w:r>
              <w:t>Open/create Incident</w:t>
            </w:r>
          </w:p>
        </w:tc>
        <w:tc>
          <w:tcPr>
            <w:tcW w:type="dxa" w:w="2556"/>
            <w:vAlign w:val="center"/>
          </w:tcPr>
          <w:p>
            <w:r>
              <w:t>Incident record loads correctly</w:t>
            </w:r>
          </w:p>
        </w:tc>
        <w:tc>
          <w:tcPr>
            <w:tcW w:type="dxa" w:w="2556"/>
            <w:vAlign w:val="center"/>
          </w:tcPr>
          <w:p>
            <w:r>
              <w:t>To Verify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TC02</w:t>
            </w:r>
          </w:p>
        </w:tc>
        <w:tc>
          <w:tcPr>
            <w:tcW w:type="dxa" w:w="2556"/>
            <w:vAlign w:val="center"/>
          </w:tcPr>
          <w:p>
            <w:r>
              <w:t>Enter Hardware-related ticket text</w:t>
            </w:r>
          </w:p>
        </w:tc>
        <w:tc>
          <w:tcPr>
            <w:tcW w:type="dxa" w:w="2556"/>
            <w:vAlign w:val="center"/>
          </w:tcPr>
          <w:p>
            <w:r>
              <w:t>Hardware classification is applied</w:t>
            </w:r>
          </w:p>
        </w:tc>
        <w:tc>
          <w:tcPr>
            <w:tcW w:type="dxa" w:w="2556"/>
            <w:vAlign w:val="center"/>
          </w:tcPr>
          <w:p>
            <w:r>
              <w:t>To Verify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TC03</w:t>
            </w:r>
          </w:p>
        </w:tc>
        <w:tc>
          <w:tcPr>
            <w:tcW w:type="dxa" w:w="2556"/>
            <w:vAlign w:val="center"/>
          </w:tcPr>
          <w:p>
            <w:r>
              <w:t>Enter Software-related ticket text</w:t>
            </w:r>
          </w:p>
        </w:tc>
        <w:tc>
          <w:tcPr>
            <w:tcW w:type="dxa" w:w="2556"/>
            <w:vAlign w:val="center"/>
          </w:tcPr>
          <w:p>
            <w:r>
              <w:t>Software classification is applied</w:t>
            </w:r>
          </w:p>
        </w:tc>
        <w:tc>
          <w:tcPr>
            <w:tcW w:type="dxa" w:w="2556"/>
            <w:vAlign w:val="center"/>
          </w:tcPr>
          <w:p>
            <w:r>
              <w:t>To Verify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TC04</w:t>
            </w:r>
          </w:p>
        </w:tc>
        <w:tc>
          <w:tcPr>
            <w:tcW w:type="dxa" w:w="2556"/>
            <w:vAlign w:val="center"/>
          </w:tcPr>
          <w:p>
            <w:r>
              <w:t>Enter Network-related ticket text</w:t>
            </w:r>
          </w:p>
        </w:tc>
        <w:tc>
          <w:tcPr>
            <w:tcW w:type="dxa" w:w="2556"/>
            <w:vAlign w:val="center"/>
          </w:tcPr>
          <w:p>
            <w:r>
              <w:t>Network classification is applied</w:t>
            </w:r>
          </w:p>
        </w:tc>
        <w:tc>
          <w:tcPr>
            <w:tcW w:type="dxa" w:w="2556"/>
            <w:vAlign w:val="center"/>
          </w:tcPr>
          <w:p>
            <w:r>
              <w:t>To Verify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TC05</w:t>
            </w:r>
          </w:p>
        </w:tc>
        <w:tc>
          <w:tcPr>
            <w:tcW w:type="dxa" w:w="2556"/>
            <w:vAlign w:val="center"/>
          </w:tcPr>
          <w:p>
            <w:r>
              <w:t>Enter Access-related ticket text</w:t>
            </w:r>
          </w:p>
        </w:tc>
        <w:tc>
          <w:tcPr>
            <w:tcW w:type="dxa" w:w="2556"/>
            <w:vAlign w:val="center"/>
          </w:tcPr>
          <w:p>
            <w:r>
              <w:t>Access classification is applied</w:t>
            </w:r>
          </w:p>
        </w:tc>
        <w:tc>
          <w:tcPr>
            <w:tcW w:type="dxa" w:w="2556"/>
            <w:vAlign w:val="center"/>
          </w:tcPr>
          <w:p>
            <w:r>
              <w:t>To Verify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TC06</w:t>
            </w:r>
          </w:p>
        </w:tc>
        <w:tc>
          <w:tcPr>
            <w:tcW w:type="dxa" w:w="2556"/>
            <w:vAlign w:val="center"/>
          </w:tcPr>
          <w:p>
            <w:r>
              <w:t>Enter Email-related ticket text</w:t>
            </w:r>
          </w:p>
        </w:tc>
        <w:tc>
          <w:tcPr>
            <w:tcW w:type="dxa" w:w="2556"/>
            <w:vAlign w:val="center"/>
          </w:tcPr>
          <w:p>
            <w:r>
              <w:t>Email classification is applied</w:t>
            </w:r>
          </w:p>
        </w:tc>
        <w:tc>
          <w:tcPr>
            <w:tcW w:type="dxa" w:w="2556"/>
            <w:vAlign w:val="center"/>
          </w:tcPr>
          <w:p>
            <w:r>
              <w:t>To Verify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TC07</w:t>
            </w:r>
          </w:p>
        </w:tc>
        <w:tc>
          <w:tcPr>
            <w:tcW w:type="dxa" w:w="2556"/>
            <w:vAlign w:val="center"/>
          </w:tcPr>
          <w:p>
            <w:r>
              <w:t>Enter unmatched ticket text</w:t>
            </w:r>
          </w:p>
        </w:tc>
        <w:tc>
          <w:tcPr>
            <w:tcW w:type="dxa" w:w="2556"/>
            <w:vAlign w:val="center"/>
          </w:tcPr>
          <w:p>
            <w:r>
              <w:t>Default/Other or manual-review path is applied</w:t>
            </w:r>
          </w:p>
        </w:tc>
        <w:tc>
          <w:tcPr>
            <w:tcW w:type="dxa" w:w="2556"/>
            <w:vAlign w:val="center"/>
          </w:tcPr>
          <w:p>
            <w:r>
              <w:t>To Verify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TC08</w:t>
            </w:r>
          </w:p>
        </w:tc>
        <w:tc>
          <w:tcPr>
            <w:tcW w:type="dxa" w:w="2556"/>
            <w:vAlign w:val="center"/>
          </w:tcPr>
          <w:p>
            <w:r>
              <w:t>Repeat a matching classification</w:t>
            </w:r>
          </w:p>
        </w:tc>
        <w:tc>
          <w:tcPr>
            <w:tcW w:type="dxa" w:w="2556"/>
            <w:vAlign w:val="center"/>
          </w:tcPr>
          <w:p>
            <w:r>
              <w:t>Classification remains consistent</w:t>
            </w:r>
          </w:p>
        </w:tc>
        <w:tc>
          <w:tcPr>
            <w:tcW w:type="dxa" w:w="2556"/>
            <w:vAlign w:val="center"/>
          </w:tcPr>
          <w:p>
            <w:r>
              <w:t>To Verify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TC09</w:t>
            </w:r>
          </w:p>
        </w:tc>
        <w:tc>
          <w:tcPr>
            <w:tcW w:type="dxa" w:w="2556"/>
            <w:vAlign w:val="center"/>
          </w:tcPr>
          <w:p>
            <w:r>
              <w:t>Inspect final Incident</w:t>
            </w:r>
          </w:p>
        </w:tc>
        <w:tc>
          <w:tcPr>
            <w:tcW w:type="dxa" w:w="2556"/>
            <w:vAlign w:val="center"/>
          </w:tcPr>
          <w:p>
            <w:r>
              <w:t>Expected classification is visible and documented</w:t>
            </w:r>
          </w:p>
        </w:tc>
        <w:tc>
          <w:tcPr>
            <w:tcW w:type="dxa" w:w="2556"/>
            <w:vAlign w:val="center"/>
          </w:tcPr>
          <w:p>
            <w:r>
              <w:t>To Verify</w:t>
            </w:r>
          </w:p>
        </w:tc>
      </w:tr>
    </w:tbl>
    <w:p>
      <w:r>
        <w:rPr>
          <w:b/>
          <w:sz w:val="26"/>
        </w:rPr>
        <w:t>Testing Evidence</w:t>
      </w:r>
    </w:p>
    <w:p>
      <w:pPr>
        <w:pStyle w:val="ListBullet"/>
      </w:pPr>
      <w:r>
        <w:t>Incident form initial state screenshot.</w:t>
      </w:r>
    </w:p>
    <w:p>
      <w:pPr>
        <w:pStyle w:val="ListBullet"/>
      </w:pPr>
      <w:r>
        <w:t>Flow Designer configuration screenshot.</w:t>
      </w:r>
    </w:p>
    <w:p>
      <w:pPr>
        <w:pStyle w:val="ListBullet"/>
      </w:pPr>
      <w:r>
        <w:t>Trigger/decision configuration screenshot.</w:t>
      </w:r>
    </w:p>
    <w:p>
      <w:pPr>
        <w:pStyle w:val="ListBullet"/>
      </w:pPr>
      <w:r>
        <w:t>Flow execution screenshot.</w:t>
      </w:r>
    </w:p>
    <w:p>
      <w:pPr>
        <w:pStyle w:val="ListBullet"/>
      </w:pPr>
      <w:r>
        <w:t>Classification result screenshot.</w:t>
      </w:r>
    </w:p>
    <w:p>
      <w:pPr>
        <w:pStyle w:val="ListBullet"/>
      </w:pPr>
      <w:r>
        <w:t>Final output/validation screenshot.</w:t>
      </w:r>
    </w:p>
    <w:p>
      <w:r>
        <w:rPr>
          <w:b/>
          <w:sz w:val="26"/>
        </w:rPr>
        <w:t>Defect Recording</w:t>
      </w:r>
    </w:p>
    <w:p>
      <w:r>
        <w:t>If an observed result does not match the configured requirement, record the issue, affected flow component, observed behaviour, expected behaviour and corrective action before marking the test as passed.</w:t>
      </w:r>
    </w:p>
    <w:p>
      <w:r>
        <w:rPr>
          <w:b/>
          <w:sz w:val="26"/>
        </w:rPr>
        <w:t>Testing Result</w:t>
      </w:r>
    </w:p>
    <w:p>
      <w:r>
        <w:t>Pass/Fail status should be completed after executing the test cases in the actual ServiceNow instance. This document does not claim execution results before the project is tested.</w:t>
      </w:r>
    </w:p>
    <w:p>
      <w:r>
        <w:rPr>
          <w:b/>
          <w:sz w:val="26"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5112"/>
          </w:tcPr>
          <w:p>
            <w:r>
              <w:t>Team Leader</w:t>
            </w:r>
          </w:p>
        </w:tc>
        <w:tc>
          <w:tcPr>
            <w:tcW w:type="dxa" w:w="5112"/>
          </w:tcPr>
          <w:p>
            <w:r>
              <w:t>M. Sivakumar</w:t>
            </w:r>
          </w:p>
        </w:tc>
      </w:tr>
      <w:tr>
        <w:tc>
          <w:tcPr>
            <w:tcW w:type="dxa" w:w="5112"/>
          </w:tcPr>
          <w:p>
            <w:r>
              <w:t>Member</w:t>
            </w:r>
          </w:p>
        </w:tc>
        <w:tc>
          <w:tcPr>
            <w:tcW w:type="dxa" w:w="5112"/>
          </w:tcPr>
          <w:p>
            <w:r>
              <w:t>M. Subin</w:t>
            </w:r>
          </w:p>
        </w:tc>
      </w:tr>
      <w:tr>
        <w:tc>
          <w:tcPr>
            <w:tcW w:type="dxa" w:w="5112"/>
          </w:tcPr>
          <w:p>
            <w:r>
              <w:t>Member</w:t>
            </w:r>
          </w:p>
        </w:tc>
        <w:tc>
          <w:tcPr>
            <w:tcW w:type="dxa" w:w="5112"/>
          </w:tcPr>
          <w:p>
            <w:r>
              <w:t>G. Prince Daniel</w:t>
            </w:r>
          </w:p>
        </w:tc>
      </w:tr>
      <w:tr>
        <w:tc>
          <w:tcPr>
            <w:tcW w:type="dxa" w:w="5112"/>
          </w:tcPr>
          <w:p>
            <w:r>
              <w:t>Member</w:t>
            </w:r>
          </w:p>
        </w:tc>
        <w:tc>
          <w:tcPr>
            <w:tcW w:type="dxa" w:w="5112"/>
          </w:tcPr>
          <w:p>
            <w:r>
              <w:t>M. Kishor</w:t>
            </w:r>
          </w:p>
        </w:tc>
      </w:tr>
      <w:tr>
        <w:tc>
          <w:tcPr>
            <w:tcW w:type="dxa" w:w="5112"/>
          </w:tcPr>
          <w:p>
            <w:r>
              <w:t>Member</w:t>
            </w:r>
          </w:p>
        </w:tc>
        <w:tc>
          <w:tcPr>
            <w:tcW w:type="dxa" w:w="5112"/>
          </w:tcPr>
          <w:p>
            <w:r>
              <w:t>J. Suthan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sz w:val="21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sz w:val="21"/>
    </w:rPr>
  </w:style>
  <w:style w:type="table" w:default="1" w:styleId="TableNormal">
    <w:name w:val="Normal Table"/>
    <w:uiPriority w:val="99"/>
    <w:semiHidden/>
    <w:unhideWhenUsed/>
    <w:rPr>
      <w:rFonts w:ascii="Arial" w:hAnsi="Arial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1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1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sz w:val="2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sz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21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1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1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sz w:val="21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sz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  <w:sz w:val="2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  <w:sz w:val="21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  <w:sz w:val="2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sz w:val="2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sz w:val="21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  <w:sz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