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</w:t>
      </w:r>
    </w:p>
    <w:p>
      <w:pPr>
        <w:pStyle w:val="Heading1"/>
      </w:pPr>
      <w:r>
        <w:t>Reviewer 1</w:t>
      </w:r>
    </w:p>
    <w:p>
      <w:pPr>
        <w:pStyle w:val="Heading2"/>
      </w:pPr>
      <w:r>
        <w:t>R1.3: Joint-optimization baseline missing</w:t>
      </w:r>
    </w:p>
    <w:p>
      <w:r>
        <w:t>Comment: The paper relies on an independent dispatch baseline and does not compare the A-DMFE against a direct joint-optimization baseline. Why not solve the whole batch at once?</w:t>
      </w:r>
    </w:p>
    <w:p>
      <w:r>
        <w:t>Response: We agree that a direct monolithic comparison is necessary to justify our decomposed architecture. We have implemented a separate direct baseline using the project’s legacy OR-Tools joint-optimization capability (AIOrchestrator). Under identical conditions, the monolithic solver successfully served N=50 requests in 2.07s. However, at N=100 and N=250, it timed out without returning any valid routes, proving that joint-optimization fails to scale for real-time dispatch at these workloads. We have reported these actual failure runtimes and added Table IV in the Results section.</w:t>
      </w:r>
    </w:p>
    <w:p>
      <w:pPr>
        <w:pStyle w:val="Heading2"/>
      </w:pPr>
      <w:r>
        <w:t>R1.4: Per-service-type results missing</w:t>
      </w:r>
    </w:p>
    <w:p>
      <w:r>
        <w:t>Comment: The paper aggregates results but does not show if the engine works consistently across passenger, food, and parcel services.</w:t>
      </w:r>
    </w:p>
    <w:p>
      <w:r>
        <w:t>Response: We have executed a verified 100-request synthetic pilot to cleanly isolate per-service batching metrics without introducing fabricated distance/fuel allocations. The results show 92.7% batching participation for rides, 80.0% for food, and 100.0% for parcels. These verifiable project metrics have been added as Table V in the Results section.</w:t>
      </w:r>
    </w:p>
    <w:p>
      <w:pPr>
        <w:pStyle w:val="Heading1"/>
      </w:pPr>
      <w:r>
        <w:t>Reviewer 2</w:t>
      </w:r>
    </w:p>
    <w:p>
      <w:pPr>
        <w:pStyle w:val="Heading2"/>
      </w:pPr>
      <w:r>
        <w:t>R2.1: Practical Service-Specific Time Windows</w:t>
      </w:r>
    </w:p>
    <w:p>
      <w:r>
        <w:t>Comment: The experimental setup uses a global 20-minute time window despite the mathematical formulation allowing for service-specific windows.</w:t>
      </w:r>
    </w:p>
    <w:p>
      <w:r>
        <w:t>Response: We acknowledge this limitation in the experimental configuration. Rather than inventing arbitrary numerical windows for the experiment, we have maintained the honest 20-minute experimental parameter but added a concise practical policy explanation in the Methodology section. The new text explains that in deployment, time windows would be calibrated against service-level agreements, product thermal sensitivities, and operational targets (e.g., 10-15 mins for food vs multi-hour for parcels).</w:t>
      </w:r>
    </w:p>
    <w:p>
      <w:pPr>
        <w:pStyle w:val="Heading2"/>
      </w:pPr>
      <w:r>
        <w:t>R2.2: 43-request / 2,320-trip reconciliation</w:t>
      </w:r>
    </w:p>
    <w:p>
      <w:r>
        <w:t>Comment: The relationship between the 43-request pilot/2,320-trip data and the current 36-run evaluation is ambiguous.</w:t>
      </w:r>
    </w:p>
    <w:p>
      <w:r>
        <w:t>Response: We have added a dedicated paragraph to the start of the Experimental Setup section to remove any ambiguity. The text now explicitly states that the previous 43-request and 2,320-trip figures were withdrawn because they lacked strict seed control and independent reproducibility. We clarify that all current claims are drawn exclusively from the 36-run seed-matched synthetic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