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Global Feature Importance Analysis: SHAP Summary</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SHAP summary plot and bar plot, the following features have been identified as the most significant drivers of the customer churn prediction model. The analysis reveals not only which features are most important, but also the nature and direction of their relationship with churn.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Tenure</w:t>
      </w: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Impact Direction: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Strong Negative Correlation</w:t>
      </w: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This is the most powerful predictor of churn. Lower values of tenure (newer customers, shown in red on the beeswarm plot) have high, positive SHAP values, forcefully pushing the model's output towards a prediction of </w:t>
      </w:r>
      <w:r w:rsidDel="00000000" w:rsidR="00000000" w:rsidRPr="00000000">
        <w:rPr>
          <w:rFonts w:ascii="Times New Roman" w:cs="Times New Roman" w:eastAsia="Times New Roman" w:hAnsi="Times New Roman"/>
          <w:b w:val="1"/>
          <w:bCs w:val="1"/>
          <w:rtl w:val="0"/>
        </w:rPr>
        <w:t xml:space="preserve">churn</w:t>
      </w:r>
      <w:r w:rsidDel="00000000" w:rsidR="00000000" w:rsidRPr="00000000">
        <w:rPr>
          <w:rFonts w:ascii="Times New Roman" w:cs="Times New Roman" w:eastAsia="Times New Roman" w:hAnsi="Times New Roman"/>
          <w:rtl w:val="0"/>
        </w:rPr>
        <w:t xml:space="preserve">. Conversely, high tenure values (long standing customers, shown in blue) have negative SHAP values, strongly pushing the prediction towards </w:t>
      </w:r>
      <w:r w:rsidDel="00000000" w:rsidR="00000000" w:rsidRPr="00000000">
        <w:rPr>
          <w:rFonts w:ascii="Times New Roman" w:cs="Times New Roman" w:eastAsia="Times New Roman" w:hAnsi="Times New Roman"/>
          <w:b w:val="1"/>
          <w:bCs w:val="1"/>
          <w:rtl w:val="0"/>
        </w:rPr>
        <w:t xml:space="preserve">retention</w:t>
      </w:r>
      <w:r w:rsidDel="00000000" w:rsidR="00000000" w:rsidRPr="00000000">
        <w:rPr>
          <w:rFonts w:ascii="Times New Roman" w:cs="Times New Roman" w:eastAsia="Times New Roman" w:hAnsi="Times New Roman"/>
          <w:rtl w:val="0"/>
        </w:rPr>
        <w:t xml:space="preserve">. This clearly indicates that customer loyalty is earned over time, and the risk of churn is highest in the initial months.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Monthly Charges</w:t>
      </w:r>
      <w:r w:rsidDel="00000000" w:rsidR="00000000" w:rsidRPr="00000000">
        <w:rPr>
          <w:rtl w:val="0"/>
        </w:rPr>
      </w:r>
    </w:p>
    <w:p w:rsidR="00000000" w:rsidDel="00000000" w:rsidP="00000000" w:rsidRDefault="00000000" w:rsidRPr="00000000" w14:paraId="00000007">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Impact Direction: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Positive Correlation</w:t>
      </w:r>
      <w:r w:rsidDel="00000000" w:rsidR="00000000" w:rsidRPr="00000000">
        <w:rPr>
          <w:rtl w:val="0"/>
        </w:rPr>
      </w:r>
    </w:p>
    <w:p w:rsidR="00000000" w:rsidDel="00000000" w:rsidP="00000000" w:rsidRDefault="00000000" w:rsidRPr="00000000" w14:paraId="00000008">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second most important feature. Higher monthly charges (red) consistently increase the probability of churn. There is a clear threshold effect, where customers above a certain monthly fee show a steep increase in churn risk. This suggests that pricing and perceived value are critical factors, and customers facing higher recurring costs are more likely to reevaluate their subscription.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Contract Type</w:t>
      </w:r>
      <w:r w:rsidDel="00000000" w:rsidR="00000000" w:rsidRPr="00000000">
        <w:rPr>
          <w:rtl w:val="0"/>
        </w:rPr>
      </w:r>
    </w:p>
    <w:p w:rsidR="00000000" w:rsidDel="00000000" w:rsidP="00000000" w:rsidRDefault="00000000" w:rsidRPr="00000000" w14:paraId="0000000A">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Impact Direction: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Categorical with Clear Risk Tiers</w:t>
      </w:r>
      <w:r w:rsidDel="00000000" w:rsidR="00000000" w:rsidRPr="00000000">
        <w:rPr>
          <w:rtl w:val="0"/>
        </w:rPr>
      </w:r>
    </w:p>
    <w:p w:rsidR="00000000" w:rsidDel="00000000" w:rsidP="00000000" w:rsidRDefault="00000000" w:rsidRPr="00000000" w14:paraId="0000000B">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Contract type is a decisive factor. The analysis shows:</w:t>
      </w:r>
    </w:p>
    <w:p w:rsidR="00000000" w:rsidDel="00000000" w:rsidP="00000000" w:rsidRDefault="00000000" w:rsidRPr="00000000" w14:paraId="0000000C">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Month to month</w:t>
      </w:r>
      <w:r w:rsidDel="00000000" w:rsidR="00000000" w:rsidRPr="00000000">
        <w:rPr>
          <w:rFonts w:ascii="Times New Roman" w:cs="Times New Roman" w:eastAsia="Times New Roman" w:hAnsi="Times New Roman"/>
          <w:rtl w:val="0"/>
        </w:rPr>
        <w:t xml:space="preserve"> contracts (when one hot encoded) have a high positive SHAP value, representing the </w:t>
      </w:r>
      <w:r w:rsidDel="00000000" w:rsidR="00000000" w:rsidRPr="00000000">
        <w:rPr>
          <w:rFonts w:ascii="Times New Roman" w:cs="Times New Roman" w:eastAsia="Times New Roman" w:hAnsi="Times New Roman"/>
          <w:b w:val="1"/>
          <w:bCs w:val="1"/>
          <w:rtl w:val="0"/>
        </w:rPr>
        <w:t xml:space="preserve">highest churn risk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One year</w:t>
      </w:r>
      <w:r w:rsidDel="00000000" w:rsidR="00000000" w:rsidRPr="00000000">
        <w:rPr>
          <w:rFonts w:ascii="Times New Roman" w:cs="Times New Roman" w:eastAsia="Times New Roman" w:hAnsi="Times New Roman"/>
          <w:rtl w:val="0"/>
        </w:rPr>
        <w:t xml:space="preserve"> contracts have a near neutral or slightly negative impact.</w:t>
      </w:r>
    </w:p>
    <w:p w:rsidR="00000000" w:rsidDel="00000000" w:rsidP="00000000" w:rsidRDefault="00000000" w:rsidRPr="00000000" w14:paraId="0000000E">
      <w:pPr>
        <w:numPr>
          <w:ilvl w:val="1"/>
          <w:numId w:val="3"/>
        </w:numPr>
        <w:ind w:left="1440" w:hanging="360"/>
        <w:rPr/>
      </w:pPr>
      <w:r w:rsidDel="00000000" w:rsidR="00000000" w:rsidRPr="00000000">
        <w:rPr>
          <w:rFonts w:ascii="Times New Roman" w:cs="Times New Roman" w:eastAsia="Times New Roman" w:hAnsi="Times New Roman"/>
          <w:b w:val="1"/>
          <w:bCs w:val="1"/>
          <w:rtl w:val="0"/>
        </w:rPr>
        <w:t xml:space="preserve">Two year</w:t>
      </w:r>
      <w:r w:rsidDel="00000000" w:rsidR="00000000" w:rsidRPr="00000000">
        <w:rPr>
          <w:rFonts w:ascii="Times New Roman" w:cs="Times New Roman" w:eastAsia="Times New Roman" w:hAnsi="Times New Roman"/>
          <w:rtl w:val="0"/>
        </w:rPr>
        <w:t xml:space="preserve"> contracts have a strong negative SHAP value, significantly </w:t>
      </w:r>
      <w:r w:rsidDel="00000000" w:rsidR="00000000" w:rsidRPr="00000000">
        <w:rPr>
          <w:rFonts w:ascii="Times New Roman" w:cs="Times New Roman" w:eastAsia="Times New Roman" w:hAnsi="Times New Roman"/>
          <w:b w:val="1"/>
          <w:bCs w:val="1"/>
          <w:rtl w:val="0"/>
        </w:rPr>
        <w:t xml:space="preserve">reducing the churn probability</w:t>
      </w:r>
      <w:r w:rsidDel="00000000" w:rsidR="00000000" w:rsidRPr="00000000">
        <w:rPr>
          <w:rFonts w:ascii="Times New Roman" w:cs="Times New Roman" w:eastAsia="Times New Roman" w:hAnsi="Times New Roman"/>
          <w:rtl w:val="0"/>
        </w:rPr>
        <w:t xml:space="preserve">.</w:t>
        <w:br w:type="textWrapping"/>
        <w:t xml:space="preserve">This underscores the power of long-term commitments in stabilizing the customer base.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Total Charges</w:t>
      </w:r>
      <w:r w:rsidDel="00000000" w:rsidR="00000000" w:rsidRPr="00000000">
        <w:rPr>
          <w:rtl w:val="0"/>
        </w:rPr>
      </w:r>
    </w:p>
    <w:p w:rsidR="00000000" w:rsidDel="00000000" w:rsidP="00000000" w:rsidRDefault="00000000" w:rsidRPr="00000000" w14:paraId="00000010">
      <w:pPr>
        <w:numPr>
          <w:ilvl w:val="0"/>
          <w:numId w:val="4"/>
        </w:numPr>
        <w:ind w:left="720" w:hanging="360"/>
        <w:rPr/>
      </w:pPr>
      <w:r w:rsidDel="00000000" w:rsidR="00000000" w:rsidRPr="00000000">
        <w:rPr>
          <w:rFonts w:ascii="Times New Roman" w:cs="Times New Roman" w:eastAsia="Times New Roman" w:hAnsi="Times New Roman"/>
          <w:b w:val="1"/>
          <w:bCs w:val="1"/>
          <w:rtl w:val="0"/>
        </w:rPr>
        <w:t xml:space="preserve">Impact Direction: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Weak Negative Correlation</w:t>
      </w:r>
      <w:r w:rsidDel="00000000" w:rsidR="00000000" w:rsidRPr="00000000">
        <w:rPr>
          <w:rtl w:val="0"/>
        </w:rPr>
      </w:r>
    </w:p>
    <w:p w:rsidR="00000000" w:rsidDel="00000000" w:rsidP="00000000" w:rsidRDefault="00000000" w:rsidRPr="00000000" w14:paraId="00000011">
      <w:pPr>
        <w:numPr>
          <w:ilvl w:val="0"/>
          <w:numId w:val="4"/>
        </w:numPr>
        <w:ind w:left="720" w:hanging="360"/>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total amount a customer has paid to date shows a mild protective effect against churn. Lower total charges (often linked to low tenure) are associated with a slightly higher risk, while higher total charges (indicating a longer and or more valuable history) slightly decrease the risk. Its influence is less direct than tenure or monthly charges.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Number of Support Tickets</w:t>
      </w:r>
      <w:r w:rsidDel="00000000" w:rsidR="00000000" w:rsidRPr="00000000">
        <w:rPr>
          <w:rtl w:val="0"/>
        </w:rPr>
      </w:r>
    </w:p>
    <w:p w:rsidR="00000000" w:rsidDel="00000000" w:rsidP="00000000" w:rsidRDefault="00000000" w:rsidRPr="00000000" w14:paraId="00000013">
      <w:pPr>
        <w:numPr>
          <w:ilvl w:val="0"/>
          <w:numId w:val="5"/>
        </w:numPr>
        <w:ind w:left="720" w:hanging="360"/>
        <w:rPr/>
      </w:pPr>
      <w:r w:rsidDel="00000000" w:rsidR="00000000" w:rsidRPr="00000000">
        <w:rPr>
          <w:rFonts w:ascii="Times New Roman" w:cs="Times New Roman" w:eastAsia="Times New Roman" w:hAnsi="Times New Roman"/>
          <w:b w:val="1"/>
          <w:bCs w:val="1"/>
          <w:rtl w:val="0"/>
        </w:rPr>
        <w:t xml:space="preserve">Impact Direction: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Strong Positive Correlation</w:t>
      </w:r>
      <w:r w:rsidDel="00000000" w:rsidR="00000000" w:rsidRPr="00000000">
        <w:rPr>
          <w:rtl w:val="0"/>
        </w:rPr>
      </w:r>
    </w:p>
    <w:p w:rsidR="00000000" w:rsidDel="00000000" w:rsidP="00000000" w:rsidRDefault="00000000" w:rsidRPr="00000000" w14:paraId="00000014">
      <w:pPr>
        <w:numPr>
          <w:ilvl w:val="0"/>
          <w:numId w:val="5"/>
        </w:numPr>
        <w:ind w:left="720" w:hanging="360"/>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 highly insightful behavioral feature. The number of customer support tickets logged has a strong positive relationship with churn. Even a small number of tickets (2 to 3) increases the risk, and this effect grows substantially with more tickets. This is a clear indicator that </w:t>
      </w:r>
      <w:r w:rsidDel="00000000" w:rsidR="00000000" w:rsidRPr="00000000">
        <w:rPr>
          <w:rFonts w:ascii="Times New Roman" w:cs="Times New Roman" w:eastAsia="Times New Roman" w:hAnsi="Times New Roman"/>
          <w:b w:val="1"/>
          <w:bCs w:val="1"/>
          <w:rtl w:val="0"/>
        </w:rPr>
        <w:t xml:space="preserve">customer service interactions are a major proxy for dissatisfaction</w:t>
      </w:r>
      <w:r w:rsidDel="00000000" w:rsidR="00000000" w:rsidRPr="00000000">
        <w:rPr>
          <w:rFonts w:ascii="Times New Roman" w:cs="Times New Roman" w:eastAsia="Times New Roman" w:hAnsi="Times New Roman"/>
          <w:rtl w:val="0"/>
        </w:rPr>
        <w:t xml:space="preserve">. Customers who need to contact support frequently are at a significantly elevated risk of leaving.</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Internet Service Type (Fiber Optic)</w:t>
      </w:r>
      <w:r w:rsidDel="00000000" w:rsidR="00000000" w:rsidRPr="00000000">
        <w:rPr>
          <w:rtl w:val="0"/>
        </w:rPr>
      </w:r>
    </w:p>
    <w:p w:rsidR="00000000" w:rsidDel="00000000" w:rsidP="00000000" w:rsidRDefault="00000000" w:rsidRPr="00000000" w14:paraId="00000016">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Impact Direction: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Positive Correlation (Context Dependent)</w:t>
      </w:r>
      <w:r w:rsidDel="00000000" w:rsidR="00000000" w:rsidRPr="00000000">
        <w:rPr>
          <w:rtl w:val="0"/>
        </w:rPr>
      </w:r>
    </w:p>
    <w:p w:rsidR="00000000" w:rsidDel="00000000" w:rsidP="00000000" w:rsidRDefault="00000000" w:rsidRPr="00000000" w14:paraId="00000017">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Customers with Fiber optic internet service show a higher propensity to churn. This could be related to competitive pressures in the fiber market, service reliability issues specific to this tier, or higher expectations that are not being met. This finding would require further business context to action appropriately.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 of Key Business Insights:</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SHAP analysis reveals that churn is not driven by a single factor but by a combination of </w:t>
      </w:r>
      <w:r w:rsidDel="00000000" w:rsidR="00000000" w:rsidRPr="00000000">
        <w:rPr>
          <w:rFonts w:ascii="Times New Roman" w:cs="Times New Roman" w:eastAsia="Times New Roman" w:hAnsi="Times New Roman"/>
          <w:b w:val="1"/>
          <w:bCs w:val="1"/>
          <w:rtl w:val="0"/>
        </w:rPr>
        <w:t xml:space="preserve">customer longevity, cost, commitment, and service experience</w:t>
      </w:r>
      <w:r w:rsidDel="00000000" w:rsidR="00000000" w:rsidRPr="00000000">
        <w:rPr>
          <w:rFonts w:ascii="Times New Roman" w:cs="Times New Roman" w:eastAsia="Times New Roman" w:hAnsi="Times New Roman"/>
          <w:rtl w:val="0"/>
        </w:rPr>
        <w:t xml:space="preserve">. The typical high risk customer profile is a </w:t>
      </w:r>
      <w:r w:rsidDel="00000000" w:rsidR="00000000" w:rsidRPr="00000000">
        <w:rPr>
          <w:rFonts w:ascii="Times New Roman" w:cs="Times New Roman" w:eastAsia="Times New Roman" w:hAnsi="Times New Roman"/>
          <w:b w:val="1"/>
          <w:bCs w:val="1"/>
          <w:rtl w:val="0"/>
        </w:rPr>
        <w:t xml:space="preserve">new customer on a month to month contract, paying a high monthly rate, and who has already had reason to contact customer support.</w:t>
      </w:r>
      <w:r w:rsidDel="00000000" w:rsidR="00000000" w:rsidRPr="00000000">
        <w:rPr>
          <w:rFonts w:ascii="Times New Roman" w:cs="Times New Roman" w:eastAsia="Times New Roman" w:hAnsi="Times New Roman"/>
          <w:rtl w:val="0"/>
        </w:rPr>
        <w:t xml:space="preserve"> In contrast, the most loyal customers are those with long tenures on annual contracts, regardless of their monthly spend.</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global view provides a strategic roadmap for where to focus retention efforts, such as creating incentives for month to month customers to switch to annual plans and proactively managing the experience of customers who trigger support tickets.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