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Local Interpretation Analysis: Individual Customer Predictions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uses SHAP waterfall plots to explain the "why" behind specific model predictions for three distinct customer profiles: a high risk churn case, a loyal customer, and an uncertain edge case.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Case 1: High-Risk Churn Customer (Predicted Probability: 92%)</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 ID:</w:t>
      </w:r>
      <w:r w:rsidDel="00000000" w:rsidR="00000000" w:rsidRPr="00000000">
        <w:rPr>
          <w:rFonts w:ascii="Times New Roman" w:cs="Times New Roman" w:eastAsia="Times New Roman" w:hAnsi="Times New Roman"/>
          <w:rtl w:val="0"/>
        </w:rPr>
        <w:t xml:space="preserve"> 12345</w:t>
        <w:br w:type="textWrapping"/>
      </w:r>
      <w:r w:rsidDel="00000000" w:rsidR="00000000" w:rsidRPr="00000000">
        <w:rPr>
          <w:rFonts w:ascii="Times New Roman" w:cs="Times New Roman" w:eastAsia="Times New Roman" w:hAnsi="Times New Roman"/>
          <w:b w:val="1"/>
          <w:bCs w:val="1"/>
          <w:rtl w:val="0"/>
        </w:rPr>
        <w:t xml:space="preserve">Business Context:</w:t>
      </w:r>
      <w:r w:rsidDel="00000000" w:rsidR="00000000" w:rsidRPr="00000000">
        <w:rPr>
          <w:rFonts w:ascii="Times New Roman" w:cs="Times New Roman" w:eastAsia="Times New Roman" w:hAnsi="Times New Roman"/>
          <w:rtl w:val="0"/>
        </w:rPr>
        <w:t xml:space="preserve"> A new, dissatisfied customer on a flexible plan.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SHAP Value Breakdown (Base Value Final Output):</w:t>
      </w: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Base Value (Average Prediction):</w:t>
      </w:r>
      <w:r w:rsidDel="00000000" w:rsidR="00000000" w:rsidRPr="00000000">
        <w:rPr>
          <w:rFonts w:ascii="Times New Roman" w:cs="Times New Roman" w:eastAsia="Times New Roman" w:hAnsi="Times New Roman"/>
          <w:rtl w:val="0"/>
        </w:rPr>
        <w:t xml:space="preserve"> 0.27</w:t>
      </w:r>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Cumulative Feature Contributions:</w:t>
      </w:r>
      <w:r w:rsidDel="00000000" w:rsidR="00000000" w:rsidRPr="00000000">
        <w:rPr>
          <w:rFonts w:ascii="Times New Roman" w:cs="Times New Roman" w:eastAsia="Times New Roman" w:hAnsi="Times New Roman"/>
          <w:rtl w:val="0"/>
        </w:rPr>
        <w:t xml:space="preserve"> 0.65</w:t>
      </w: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Final Prediction (E[f(x)]):</w:t>
      </w:r>
      <w:r w:rsidDel="00000000" w:rsidR="00000000" w:rsidRPr="00000000">
        <w:rPr>
          <w:rFonts w:ascii="Times New Roman" w:cs="Times New Roman" w:eastAsia="Times New Roman" w:hAnsi="Times New Roman"/>
          <w:rtl w:val="0"/>
        </w:rPr>
        <w:t xml:space="preserve"> 0.92</w:t>
      </w:r>
      <w:r w:rsidDel="00000000" w:rsidR="00000000" w:rsidRPr="00000000">
        <w:rPr>
          <w:rtl w:val="0"/>
        </w:rPr>
      </w:r>
    </w:p>
    <w:tbl>
      <w:tblPr>
        <w:tblStyle w:val="Table1"/>
        <w:tblW w:w="9026.0" w:type="dxa"/>
        <w:jc w:val="left"/>
        <w:tblLayout w:type="fixed"/>
        <w:tblLook w:val="0400"/>
      </w:tblPr>
      <w:tblGrid>
        <w:gridCol w:w="2120"/>
        <w:gridCol w:w="1313"/>
        <w:gridCol w:w="1750"/>
        <w:gridCol w:w="3843"/>
        <w:tblGridChange w:id="0">
          <w:tblGrid>
            <w:gridCol w:w="2120"/>
            <w:gridCol w:w="1313"/>
            <w:gridCol w:w="1750"/>
            <w:gridCol w:w="3843"/>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Value</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 Contribution</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Tenure</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months</w:t>
            </w:r>
          </w:p>
        </w:tc>
        <w:tc>
          <w:tcPr>
            <w:tcMar>
              <w:top w:w="150.0" w:type="dxa"/>
              <w:left w:w="240.0" w:type="dxa"/>
              <w:bottom w:w="150.0" w:type="dxa"/>
              <w:right w:w="240.0" w:type="dxa"/>
            </w:tcMa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0.38</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single largest driver. A tenure of only 2 months massively increases the churn risk.</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Contract Month to month</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Mar>
              <w:top w:w="150.0" w:type="dxa"/>
              <w:left w:w="240.0" w:type="dxa"/>
              <w:bottom w:w="150.0" w:type="dxa"/>
              <w:right w:w="240.0" w:type="dxa"/>
            </w:tcMa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0.15</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lack of a long term commitment makes it easy for this customer to leave.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 of Support Tickets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50.0" w:type="dxa"/>
              <w:left w:w="240.0" w:type="dxa"/>
              <w:bottom w:w="150.0" w:type="dxa"/>
              <w:right w:w="240.0" w:type="dxa"/>
            </w:tcMa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0.12</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support tickets indicate significant service issues or dissatisfaction, strongly pushing the prediction towards churn.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Monthly Charges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95.50</w:t>
            </w:r>
          </w:p>
        </w:tc>
        <w:tc>
          <w:tcPr>
            <w:tcMar>
              <w:top w:w="150.0" w:type="dxa"/>
              <w:left w:w="240.0" w:type="dxa"/>
              <w:bottom w:w="150.0" w:type="dxa"/>
              <w:right w:w="240.0" w:type="dxa"/>
            </w:tcMar>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0.08</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 monthly cost for a new customer decreases the perceived value, contributing to the risk.</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Charges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191.00</w:t>
            </w:r>
          </w:p>
        </w:tc>
        <w:tc>
          <w:tcPr>
            <w:tcMar>
              <w:top w:w="150.0" w:type="dxa"/>
              <w:left w:w="240.0" w:type="dxa"/>
              <w:bottom w:w="150.0" w:type="dxa"/>
              <w:right w:w="240.0" w:type="dxa"/>
            </w:tcMar>
            <w:vAlign w:val="cente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0.05</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relatively low total amount paid so far means the customer has little invested in the relationship.</w:t>
            </w:r>
          </w:p>
        </w:tc>
      </w:tr>
    </w:tbl>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Narrative Explanation:</w:t>
      </w:r>
      <w:r w:rsidDel="00000000" w:rsidR="00000000" w:rsidRPr="00000000">
        <w:rPr>
          <w:rFonts w:ascii="Times New Roman" w:cs="Times New Roman" w:eastAsia="Times New Roman" w:hAnsi="Times New Roman"/>
          <w:rtl w:val="0"/>
        </w:rPr>
        <w:br w:type="textWrapping"/>
        <w:t xml:space="preserve">"The model predicts Customer 12345 has a 92% chance of churning. This is primarily because they are a very new customer (2 months) on a month to month contract who has already contacted support four times. The combination of newness, flexibility to leave, and apparent service problems creates a perfect storm of churn risk. The high monthly charge further reduces their incentive to stay."</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Recommended Action: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Urgent retention call.</w:t>
      </w:r>
      <w:r w:rsidDel="00000000" w:rsidR="00000000" w:rsidRPr="00000000">
        <w:rPr>
          <w:rFonts w:ascii="Times New Roman" w:cs="Times New Roman" w:eastAsia="Times New Roman" w:hAnsi="Times New Roman"/>
          <w:rtl w:val="0"/>
        </w:rPr>
        <w:t xml:space="preserve"> A member of the retention team should contact this customer immediately with a personalized offer (e.g., a temporary discount or a complimentary service upgrade) and actively address the issues raised in their support tickets.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Case 2: Low Risk Loyal Customer (Predicted Probability: 4%)</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 ID:</w:t>
      </w:r>
      <w:r w:rsidDel="00000000" w:rsidR="00000000" w:rsidRPr="00000000">
        <w:rPr>
          <w:rFonts w:ascii="Times New Roman" w:cs="Times New Roman" w:eastAsia="Times New Roman" w:hAnsi="Times New Roman"/>
          <w:rtl w:val="0"/>
        </w:rPr>
        <w:t xml:space="preserve"> 67890</w:t>
        <w:br w:type="textWrapping"/>
      </w:r>
      <w:r w:rsidDel="00000000" w:rsidR="00000000" w:rsidRPr="00000000">
        <w:rPr>
          <w:rFonts w:ascii="Times New Roman" w:cs="Times New Roman" w:eastAsia="Times New Roman" w:hAnsi="Times New Roman"/>
          <w:b w:val="1"/>
          <w:bCs w:val="1"/>
          <w:rtl w:val="0"/>
        </w:rPr>
        <w:t xml:space="preserve">Business Context:</w:t>
      </w:r>
      <w:r w:rsidDel="00000000" w:rsidR="00000000" w:rsidRPr="00000000">
        <w:rPr>
          <w:rFonts w:ascii="Times New Roman" w:cs="Times New Roman" w:eastAsia="Times New Roman" w:hAnsi="Times New Roman"/>
          <w:rtl w:val="0"/>
        </w:rPr>
        <w:t xml:space="preserve"> A long term, stable customer on a yearly contract.</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SHAP Value Breakdown (Base Value  Final Output):</w:t>
      </w:r>
      <w:r w:rsidDel="00000000" w:rsidR="00000000" w:rsidRPr="00000000">
        <w:rPr>
          <w:rtl w:val="0"/>
        </w:rPr>
      </w:r>
    </w:p>
    <w:p w:rsidR="00000000" w:rsidDel="00000000" w:rsidP="00000000" w:rsidRDefault="00000000" w:rsidRPr="00000000" w14:paraId="00000028">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Base Value (Average Prediction):</w:t>
      </w:r>
      <w:r w:rsidDel="00000000" w:rsidR="00000000" w:rsidRPr="00000000">
        <w:rPr>
          <w:rFonts w:ascii="Times New Roman" w:cs="Times New Roman" w:eastAsia="Times New Roman" w:hAnsi="Times New Roman"/>
          <w:rtl w:val="0"/>
        </w:rPr>
        <w:t xml:space="preserve"> 0.27</w:t>
      </w:r>
      <w:r w:rsidDel="00000000" w:rsidR="00000000" w:rsidRPr="00000000">
        <w:rPr>
          <w:rtl w:val="0"/>
        </w:rPr>
      </w:r>
    </w:p>
    <w:p w:rsidR="00000000" w:rsidDel="00000000" w:rsidP="00000000" w:rsidRDefault="00000000" w:rsidRPr="00000000" w14:paraId="00000029">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Cumulative Feature Contributions:</w:t>
      </w:r>
      <w:r w:rsidDel="00000000" w:rsidR="00000000" w:rsidRPr="00000000">
        <w:rPr>
          <w:rFonts w:ascii="Times New Roman" w:cs="Times New Roman" w:eastAsia="Times New Roman" w:hAnsi="Times New Roman"/>
          <w:rtl w:val="0"/>
        </w:rPr>
        <w:t xml:space="preserve"> 0.23</w:t>
      </w:r>
      <w:r w:rsidDel="00000000" w:rsidR="00000000" w:rsidRPr="00000000">
        <w:rPr>
          <w:rtl w:val="0"/>
        </w:rPr>
      </w:r>
    </w:p>
    <w:p w:rsidR="00000000" w:rsidDel="00000000" w:rsidP="00000000" w:rsidRDefault="00000000" w:rsidRPr="00000000" w14:paraId="0000002A">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Final Prediction (E[f(x)]):</w:t>
      </w:r>
      <w:r w:rsidDel="00000000" w:rsidR="00000000" w:rsidRPr="00000000">
        <w:rPr>
          <w:rFonts w:ascii="Times New Roman" w:cs="Times New Roman" w:eastAsia="Times New Roman" w:hAnsi="Times New Roman"/>
          <w:rtl w:val="0"/>
        </w:rPr>
        <w:t xml:space="preserve"> 0.04</w:t>
      </w:r>
      <w:r w:rsidDel="00000000" w:rsidR="00000000" w:rsidRPr="00000000">
        <w:rPr>
          <w:rtl w:val="0"/>
        </w:rPr>
      </w:r>
    </w:p>
    <w:tbl>
      <w:tblPr>
        <w:tblStyle w:val="Table2"/>
        <w:tblW w:w="9026.0" w:type="dxa"/>
        <w:jc w:val="left"/>
        <w:tblLayout w:type="fixed"/>
        <w:tblLook w:val="0400"/>
      </w:tblPr>
      <w:tblGrid>
        <w:gridCol w:w="2367"/>
        <w:gridCol w:w="1268"/>
        <w:gridCol w:w="1747"/>
        <w:gridCol w:w="3644"/>
        <w:tblGridChange w:id="0">
          <w:tblGrid>
            <w:gridCol w:w="2367"/>
            <w:gridCol w:w="1268"/>
            <w:gridCol w:w="1747"/>
            <w:gridCol w:w="3644"/>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Value</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 Contribution</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Tenure</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months</w:t>
            </w:r>
          </w:p>
        </w:tc>
        <w:tc>
          <w:tcPr>
            <w:tcMar>
              <w:top w:w="150.0" w:type="dxa"/>
              <w:left w:w="240.0" w:type="dxa"/>
              <w:bottom w:w="150.0" w:type="dxa"/>
              <w:right w:w="240.0" w:type="dxa"/>
            </w:tcMar>
            <w:vAlign w:val="cente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0.15</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long history of 4 years is the strongest protective factor against churn.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Contract One year</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Mar>
              <w:top w:w="150.0" w:type="dxa"/>
              <w:left w:w="240.0" w:type="dxa"/>
              <w:bottom w:w="150.0" w:type="dxa"/>
              <w:right w:w="240.0" w:type="dxa"/>
            </w:tcMar>
            <w:vAlign w:val="cente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0.06</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annual contract provides stability and indicates a pre committed relationship.</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 of Support Tickets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50.0" w:type="dxa"/>
              <w:left w:w="240.0" w:type="dxa"/>
              <w:bottom w:w="150.0" w:type="dxa"/>
              <w:right w:w="240.0" w:type="dxa"/>
            </w:tcMa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0.04</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absence of support tickets signals a smooth, satisfactory service experience.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Monthly Charges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49.99</w:t>
            </w:r>
          </w:p>
        </w:tc>
        <w:tc>
          <w:tcPr>
            <w:tcMar>
              <w:top w:w="150.0" w:type="dxa"/>
              <w:left w:w="240.0" w:type="dxa"/>
              <w:bottom w:w="150.0" w:type="dxa"/>
              <w:right w:w="240.0" w:type="dxa"/>
            </w:tcMar>
            <w:vAlign w:val="cente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0.02</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moderate monthly charge is seen as good value, not a point of friction.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InternetService DSL</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Mar>
              <w:top w:w="150.0" w:type="dxa"/>
              <w:left w:w="240.0" w:type="dxa"/>
              <w:bottom w:w="150.0" w:type="dxa"/>
              <w:right w:w="240.0" w:type="dxa"/>
            </w:tcMar>
            <w:vAlign w:val="cente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0.01</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DSL service (which showed a neutral or negative global association with churn) slightly decreases the risk.</w:t>
            </w:r>
          </w:p>
        </w:tc>
      </w:tr>
    </w:tbl>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Narrative Explanation:</w:t>
      </w:r>
      <w:r w:rsidDel="00000000" w:rsidR="00000000" w:rsidRPr="00000000">
        <w:rPr>
          <w:rFonts w:ascii="Times New Roman" w:cs="Times New Roman" w:eastAsia="Times New Roman" w:hAnsi="Times New Roman"/>
          <w:rtl w:val="0"/>
        </w:rPr>
        <w:br w:type="textWrapping"/>
        <w:t xml:space="preserve">"The model is highly confident (96 probability to stay) that Customer 67890 will remain. This loyalty is driven overwhelmingly by their long tenure of 4 years and their annual contract, which creates significant switching costs and habit. The fact that they have never logged a support ticket confirms a history of trouble free service, solidifying their status as a low risk, valuable customer."</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Recommended Action: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Loyalty reinforcement.</w:t>
      </w:r>
      <w:r w:rsidDel="00000000" w:rsidR="00000000" w:rsidRPr="00000000">
        <w:rPr>
          <w:rFonts w:ascii="Times New Roman" w:cs="Times New Roman" w:eastAsia="Times New Roman" w:hAnsi="Times New Roman"/>
          <w:rtl w:val="0"/>
        </w:rPr>
        <w:t xml:space="preserve"> Include this customer in a loyalty rewards program or outreach campaign to further strengthen the relationship and gather positive testimonials.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Case 3: Uncertain or Edge Case Customer (Predicted Probability: 58%)</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 ID:</w:t>
      </w:r>
      <w:r w:rsidDel="00000000" w:rsidR="00000000" w:rsidRPr="00000000">
        <w:rPr>
          <w:rFonts w:ascii="Times New Roman" w:cs="Times New Roman" w:eastAsia="Times New Roman" w:hAnsi="Times New Roman"/>
          <w:rtl w:val="0"/>
        </w:rPr>
        <w:t xml:space="preserve"> 44231</w:t>
        <w:br w:type="textWrapping"/>
      </w:r>
      <w:r w:rsidDel="00000000" w:rsidR="00000000" w:rsidRPr="00000000">
        <w:rPr>
          <w:rFonts w:ascii="Times New Roman" w:cs="Times New Roman" w:eastAsia="Times New Roman" w:hAnsi="Times New Roman"/>
          <w:b w:val="1"/>
          <w:bCs w:val="1"/>
          <w:rtl w:val="0"/>
        </w:rPr>
        <w:t xml:space="preserve">Business Context:</w:t>
      </w:r>
      <w:r w:rsidDel="00000000" w:rsidR="00000000" w:rsidRPr="00000000">
        <w:rPr>
          <w:rFonts w:ascii="Times New Roman" w:cs="Times New Roman" w:eastAsia="Times New Roman" w:hAnsi="Times New Roman"/>
          <w:rtl w:val="0"/>
        </w:rPr>
        <w:t xml:space="preserve"> A mid tenure customer sending mixed signals.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SHAP Value Breakdown (Base Value  Final Output):</w:t>
      </w:r>
      <w:r w:rsidDel="00000000" w:rsidR="00000000" w:rsidRPr="00000000">
        <w:rPr>
          <w:rtl w:val="0"/>
        </w:rPr>
      </w:r>
    </w:p>
    <w:p w:rsidR="00000000" w:rsidDel="00000000" w:rsidP="00000000" w:rsidRDefault="00000000" w:rsidRPr="00000000" w14:paraId="00000049">
      <w:pPr>
        <w:numPr>
          <w:ilvl w:val="0"/>
          <w:numId w:val="3"/>
        </w:numPr>
        <w:ind w:left="720" w:hanging="360"/>
        <w:rPr/>
      </w:pPr>
      <w:r w:rsidDel="00000000" w:rsidR="00000000" w:rsidRPr="00000000">
        <w:rPr>
          <w:rFonts w:ascii="Times New Roman" w:cs="Times New Roman" w:eastAsia="Times New Roman" w:hAnsi="Times New Roman"/>
          <w:b w:val="1"/>
          <w:bCs w:val="1"/>
          <w:rtl w:val="0"/>
        </w:rPr>
        <w:t xml:space="preserve">Base Value (Average Prediction):</w:t>
      </w:r>
      <w:r w:rsidDel="00000000" w:rsidR="00000000" w:rsidRPr="00000000">
        <w:rPr>
          <w:rFonts w:ascii="Times New Roman" w:cs="Times New Roman" w:eastAsia="Times New Roman" w:hAnsi="Times New Roman"/>
          <w:rtl w:val="0"/>
        </w:rPr>
        <w:t xml:space="preserve"> 0.27</w:t>
      </w:r>
      <w:r w:rsidDel="00000000" w:rsidR="00000000" w:rsidRPr="00000000">
        <w:rPr>
          <w:rtl w:val="0"/>
        </w:rPr>
      </w:r>
    </w:p>
    <w:p w:rsidR="00000000" w:rsidDel="00000000" w:rsidP="00000000" w:rsidRDefault="00000000" w:rsidRPr="00000000" w14:paraId="0000004A">
      <w:pPr>
        <w:numPr>
          <w:ilvl w:val="0"/>
          <w:numId w:val="3"/>
        </w:numPr>
        <w:ind w:left="720" w:hanging="360"/>
        <w:rPr/>
      </w:pPr>
      <w:r w:rsidDel="00000000" w:rsidR="00000000" w:rsidRPr="00000000">
        <w:rPr>
          <w:rFonts w:ascii="Times New Roman" w:cs="Times New Roman" w:eastAsia="Times New Roman" w:hAnsi="Times New Roman"/>
          <w:b w:val="1"/>
          <w:bCs w:val="1"/>
          <w:rtl w:val="0"/>
        </w:rPr>
        <w:t xml:space="preserve">Cumulative Feature Contributions:</w:t>
      </w:r>
      <w:r w:rsidDel="00000000" w:rsidR="00000000" w:rsidRPr="00000000">
        <w:rPr>
          <w:rFonts w:ascii="Times New Roman" w:cs="Times New Roman" w:eastAsia="Times New Roman" w:hAnsi="Times New Roman"/>
          <w:rtl w:val="0"/>
        </w:rPr>
        <w:t xml:space="preserve"> 0.31</w:t>
      </w:r>
      <w:r w:rsidDel="00000000" w:rsidR="00000000" w:rsidRPr="00000000">
        <w:rPr>
          <w:rtl w:val="0"/>
        </w:rPr>
      </w:r>
    </w:p>
    <w:p w:rsidR="00000000" w:rsidDel="00000000" w:rsidP="00000000" w:rsidRDefault="00000000" w:rsidRPr="00000000" w14:paraId="0000004B">
      <w:pPr>
        <w:numPr>
          <w:ilvl w:val="0"/>
          <w:numId w:val="3"/>
        </w:numPr>
        <w:ind w:left="720" w:hanging="360"/>
        <w:rPr/>
      </w:pPr>
      <w:r w:rsidDel="00000000" w:rsidR="00000000" w:rsidRPr="00000000">
        <w:rPr>
          <w:rFonts w:ascii="Times New Roman" w:cs="Times New Roman" w:eastAsia="Times New Roman" w:hAnsi="Times New Roman"/>
          <w:b w:val="1"/>
          <w:bCs w:val="1"/>
          <w:rtl w:val="0"/>
        </w:rPr>
        <w:t xml:space="preserve">Final Prediction (E[f(x)]):</w:t>
      </w:r>
      <w:r w:rsidDel="00000000" w:rsidR="00000000" w:rsidRPr="00000000">
        <w:rPr>
          <w:rFonts w:ascii="Times New Roman" w:cs="Times New Roman" w:eastAsia="Times New Roman" w:hAnsi="Times New Roman"/>
          <w:rtl w:val="0"/>
        </w:rPr>
        <w:t xml:space="preserve"> 0.58</w:t>
      </w:r>
      <w:r w:rsidDel="00000000" w:rsidR="00000000" w:rsidRPr="00000000">
        <w:rPr>
          <w:rtl w:val="0"/>
        </w:rPr>
      </w:r>
    </w:p>
    <w:tbl>
      <w:tblPr>
        <w:tblStyle w:val="Table3"/>
        <w:tblW w:w="9026.0" w:type="dxa"/>
        <w:jc w:val="left"/>
        <w:tblLayout w:type="fixed"/>
        <w:tblLook w:val="0400"/>
      </w:tblPr>
      <w:tblGrid>
        <w:gridCol w:w="2162"/>
        <w:gridCol w:w="1298"/>
        <w:gridCol w:w="1779"/>
        <w:gridCol w:w="3787"/>
        <w:tblGridChange w:id="0">
          <w:tblGrid>
            <w:gridCol w:w="2162"/>
            <w:gridCol w:w="1298"/>
            <w:gridCol w:w="1779"/>
            <w:gridCol w:w="3787"/>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Value</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 Contribution</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 of Support Tickets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50.0" w:type="dxa"/>
              <w:left w:w="240.0" w:type="dxa"/>
              <w:bottom w:w="150.0" w:type="dxa"/>
              <w:right w:w="240.0" w:type="dxa"/>
            </w:tcMar>
            <w:vAlign w:val="cente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0.22</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 number of recent support tickets is the largest risk factor, indicating serious frustration.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Contract Month to month</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Mar>
              <w:top w:w="150.0" w:type="dxa"/>
              <w:left w:w="240.0" w:type="dxa"/>
              <w:bottom w:w="150.0" w:type="dxa"/>
              <w:right w:w="240.0" w:type="dxa"/>
            </w:tcMar>
            <w:vAlign w:val="cente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0.12</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month to month contract means there is no barrier to exit.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Tenure</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months</w:t>
            </w:r>
          </w:p>
        </w:tc>
        <w:tc>
          <w:tcPr>
            <w:tcMar>
              <w:top w:w="150.0" w:type="dxa"/>
              <w:left w:w="240.0" w:type="dxa"/>
              <w:bottom w:w="150.0" w:type="dxa"/>
              <w:right w:w="240.0" w:type="dxa"/>
            </w:tcMar>
            <w:vAlign w:val="cente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0.10</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moderate tenure of over a year provides a counterbalancing, protective effect.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Monthly Charges</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79.99</w:t>
            </w:r>
          </w:p>
        </w:tc>
        <w:tc>
          <w:tcPr>
            <w:tcMar>
              <w:top w:w="150.0" w:type="dxa"/>
              <w:left w:w="240.0" w:type="dxa"/>
              <w:bottom w:w="150.0" w:type="dxa"/>
              <w:right w:w="240.0" w:type="dxa"/>
            </w:tcMar>
            <w:vAlign w:val="cente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0.07</w:t>
            </w:r>
            <w:r w:rsidDel="00000000" w:rsidR="00000000" w:rsidRPr="00000000">
              <w:rPr>
                <w:rtl w:val="0"/>
              </w:rPr>
            </w:r>
          </w:p>
        </w:tc>
        <w:tc>
          <w:tcPr>
            <w:tcMar>
              <w:top w:w="150.0" w:type="dxa"/>
              <w:left w:w="240.0" w:type="dxa"/>
              <w:bottom w:w="150.0" w:type="dxa"/>
              <w:right w:w="0.0" w:type="dxa"/>
            </w:tcMar>
            <w:vAlign w:val="cente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average monthly cost adds to the financial incentive to churn.</w:t>
            </w:r>
          </w:p>
        </w:tc>
      </w:tr>
    </w:tbl>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Narrative Explanation:</w:t>
      </w:r>
      <w:r w:rsidDel="00000000" w:rsidR="00000000" w:rsidRPr="00000000">
        <w:rPr>
          <w:rFonts w:ascii="Times New Roman" w:cs="Times New Roman" w:eastAsia="Times New Roman" w:hAnsi="Times New Roman"/>
          <w:rtl w:val="0"/>
        </w:rPr>
        <w:br w:type="textWrapping"/>
        <w:t xml:space="preserve">"The model is uncertain about Customer 44231 (58% churn probability), as competing forces are at play. On one hand, their 15 month tenure suggests some established loyalty. On the other hand, they have logged 3 support tickets and are on a month to month contract, which are major risk factors. The model sees this customer as being on the fenc heir decision will likely hinge on whether their recent service issues are resolved and if they perceive sufficient value to stay."</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Recommended Action: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Proactive win back.</w:t>
      </w:r>
      <w:r w:rsidDel="00000000" w:rsidR="00000000" w:rsidRPr="00000000">
        <w:rPr>
          <w:rFonts w:ascii="Times New Roman" w:cs="Times New Roman" w:eastAsia="Times New Roman" w:hAnsi="Times New Roman"/>
          <w:rtl w:val="0"/>
        </w:rPr>
        <w:t xml:space="preserve"> This customer is at a tipping point. A proactive email or call from customer service to check if their issues were resolved, coupled with a small incentive to renew for another year, could be enough to tip the scales in favor of retention.</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