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70F1A8" w14:textId="77777777" w:rsidR="007F0DE5" w:rsidRDefault="007F0DE5"/>
    <w:p>
      <w:pPr>
        <w:pStyle w:val="Heading1"/>
      </w:pPr>
      <w:r>
        <w:t>Executive Insights Report: Real Estate Services in Australia (2025)</w:t>
      </w:r>
    </w:p>
    <w:p>
      <w:pPr>
        <w:pStyle w:val="Heading2"/>
      </w:pPr>
      <w:r>
        <w:t>Industry Overview:</w:t>
      </w:r>
    </w:p>
    <w:p>
      <w:r>
        <w:t>The Australian Real Estate Services industry, with a projected revenue of $30.4 billion in 2024-25, is navigating a complex landscape shaped by fluctuating interest rates, evolving consumer preferences, and technological advancements. The industry is characterized by a low market concentration, with major players like Ray White, Jones Lang LaSalle, CBRE, and Colliers International collectively holding a modest share of the market. The sector is poised for a steady growth trajectory, with an anticipated annualized revenue growth rate of 1.4% through 2029-30, reaching $32.6 billion.</w:t>
      </w:r>
    </w:p>
    <w:p>
      <w:pPr>
        <w:pStyle w:val="Heading2"/>
      </w:pPr>
      <w:r>
        <w:t>Key Financial Metrics:</w:t>
      </w:r>
    </w:p>
    <w:p>
      <w:r>
        <w:rPr>
          <w:b/>
        </w:rPr>
        <w:t xml:space="preserve">Revenue: </w:t>
      </w:r>
      <w:r>
        <w:t>$30.4 billion (2024-25)</w:t>
      </w:r>
    </w:p>
    <w:p>
      <w:r>
        <w:rPr>
          <w:b/>
        </w:rPr>
        <w:t xml:space="preserve">Profit Margin: </w:t>
      </w:r>
      <w:r>
        <w:t>11.3%</w:t>
      </w:r>
    </w:p>
    <w:p>
      <w:r>
        <w:rPr>
          <w:b/>
        </w:rPr>
        <w:t xml:space="preserve">Wages: </w:t>
      </w:r>
      <w:r>
        <w:t>$11.3 billion</w:t>
      </w:r>
    </w:p>
    <w:p>
      <w:r>
        <w:rPr>
          <w:b/>
        </w:rPr>
        <w:t xml:space="preserve">Employees: </w:t>
      </w:r>
      <w:r>
        <w:t>168,000</w:t>
      </w:r>
    </w:p>
    <w:p>
      <w:r>
        <w:rPr>
          <w:b/>
        </w:rPr>
        <w:t xml:space="preserve">Businesses: </w:t>
      </w:r>
      <w:r>
        <w:t>46,520</w:t>
      </w:r>
    </w:p>
    <w:p>
      <w:pPr>
        <w:pStyle w:val="Heading2"/>
      </w:pPr>
      <w:r>
        <w:t>Market Dynamics:</w:t>
      </w:r>
    </w:p>
    <w:p>
      <w:r>
        <w:t>1. Residential Sector: The residential market remains robust, driven by high housing prices and increased migration. Property sales account for 60.6% of industry revenue, with commissions buoyed by rising property values. However, housing unaffordability is shifting focus towards rental markets, with property leasing and management services gaining prominence.</w:t>
      </w:r>
    </w:p>
    <w:p>
      <w:r>
        <w:t>2. Commercial Sector: The commercial real estate segment faces challenges due to remote working trends, leading to increased office vacancy rates and declining office property values. This shift necessitates a strategic pivot towards regional areas and sustainable property offerings.</w:t>
      </w:r>
    </w:p>
    <w:p>
      <w:r>
        <w:t>3. Technological Integration: The adoption of virtual and augmented reality technologies is enhancing property viewing experiences, while online platforms are reducing operational costs and expanding market reach.</w:t>
      </w:r>
    </w:p>
    <w:p>
      <w:pPr>
        <w:pStyle w:val="Heading2"/>
      </w:pPr>
      <w:r>
        <w:t>Opportunities and Threats:</w:t>
      </w:r>
    </w:p>
    <w:p>
      <w:r>
        <w:t>Opportunities: The industry's growth is underpinned by Australia's steady population increase and the rising demand for eco-friendly properties. The emergence of build-to-rent developments presents new avenues for revenue generation.</w:t>
      </w:r>
    </w:p>
    <w:p>
      <w:r>
        <w:t>Threats: Rising interest rates pose a significant threat, impacting mortgage affordability and dampening demand. The shift towards remote work continues to challenge the commercial real estate sector.</w:t>
      </w:r>
    </w:p>
    <w:p>
      <w:pPr>
        <w:pStyle w:val="Heading2"/>
      </w:pPr>
      <w:r>
        <w:t>Strategic Insights:</w:t>
      </w:r>
    </w:p>
    <w:p>
      <w:r>
        <w:t>Adaptation to Remote Work: Agencies must adapt to the changing landscape by focusing on regional markets and offering flexible leasing options.</w:t>
      </w:r>
    </w:p>
    <w:p>
      <w:r>
        <w:t>Sustainability Focus: Aligning with sustainability goals and regulatory changes will be crucial in capturing the growing demand for green buildings.</w:t>
      </w:r>
    </w:p>
    <w:p>
      <w:r>
        <w:t>Technological Advancements: Early adoption of new technologies will be key in maintaining competitive advantage and enhancing customer engagement.</w:t>
      </w:r>
    </w:p>
    <w:p>
      <w:pPr>
        <w:pStyle w:val="Heading2"/>
      </w:pPr>
      <w:r>
        <w:t>Investor Considerations:</w:t>
      </w:r>
    </w:p>
    <w:p>
      <w:r>
        <w:t>Investors should consider the industry's resilience in the face of economic fluctuations and its capacity for innovation. The focus on sustainable practices and regional expansion offers promising growth prospects. However, careful monitoring of interest rate trends and their impact on housing affordability is essential for informed investment decisions.</w:t>
      </w:r>
    </w:p>
    <w:p>
      <w:pPr>
        <w:pStyle w:val="Heading2"/>
      </w:pPr>
      <w:r>
        <w:t>Conclusion:</w:t>
      </w:r>
    </w:p>
    <w:p>
      <w:r>
        <w:t>The Australian Real Estate Services industry is navigating a transformative period, with opportunities for growth in the residential and sustainable property sectors. Strategic adaptation to market shifts and technological advancements will be critical for maintaining competitive advantage and driving future success.</w:t>
      </w:r>
    </w:p>
    <w:sectPr w:rsidR="007F0DE5" w:rsidSect="00705752">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752"/>
    <w:rsid w:val="00705752"/>
    <w:rsid w:val="007F0DE5"/>
    <w:rsid w:val="00A10202"/>
    <w:rsid w:val="00EB77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EB841"/>
  <w15:chartTrackingRefBased/>
  <w15:docId w15:val="{7EA1CD12-E25A-406F-AD72-5B7216433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575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0575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0575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0575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0575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057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57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57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57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75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0575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0575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0575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0575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057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57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57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5752"/>
    <w:rPr>
      <w:rFonts w:eastAsiaTheme="majorEastAsia" w:cstheme="majorBidi"/>
      <w:color w:val="272727" w:themeColor="text1" w:themeTint="D8"/>
    </w:rPr>
  </w:style>
  <w:style w:type="paragraph" w:styleId="Title">
    <w:name w:val="Title"/>
    <w:basedOn w:val="Normal"/>
    <w:next w:val="Normal"/>
    <w:link w:val="TitleChar"/>
    <w:uiPriority w:val="10"/>
    <w:qFormat/>
    <w:rsid w:val="007057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7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57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57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5752"/>
    <w:pPr>
      <w:spacing w:before="160"/>
      <w:jc w:val="center"/>
    </w:pPr>
    <w:rPr>
      <w:i/>
      <w:iCs/>
      <w:color w:val="404040" w:themeColor="text1" w:themeTint="BF"/>
    </w:rPr>
  </w:style>
  <w:style w:type="character" w:customStyle="1" w:styleId="QuoteChar">
    <w:name w:val="Quote Char"/>
    <w:basedOn w:val="DefaultParagraphFont"/>
    <w:link w:val="Quote"/>
    <w:uiPriority w:val="29"/>
    <w:rsid w:val="00705752"/>
    <w:rPr>
      <w:i/>
      <w:iCs/>
      <w:color w:val="404040" w:themeColor="text1" w:themeTint="BF"/>
    </w:rPr>
  </w:style>
  <w:style w:type="paragraph" w:styleId="ListParagraph">
    <w:name w:val="List Paragraph"/>
    <w:basedOn w:val="Normal"/>
    <w:uiPriority w:val="34"/>
    <w:qFormat/>
    <w:rsid w:val="00705752"/>
    <w:pPr>
      <w:ind w:left="720"/>
      <w:contextualSpacing/>
    </w:pPr>
  </w:style>
  <w:style w:type="character" w:styleId="IntenseEmphasis">
    <w:name w:val="Intense Emphasis"/>
    <w:basedOn w:val="DefaultParagraphFont"/>
    <w:uiPriority w:val="21"/>
    <w:qFormat/>
    <w:rsid w:val="00705752"/>
    <w:rPr>
      <w:i/>
      <w:iCs/>
      <w:color w:val="2F5496" w:themeColor="accent1" w:themeShade="BF"/>
    </w:rPr>
  </w:style>
  <w:style w:type="paragraph" w:styleId="IntenseQuote">
    <w:name w:val="Intense Quote"/>
    <w:basedOn w:val="Normal"/>
    <w:next w:val="Normal"/>
    <w:link w:val="IntenseQuoteChar"/>
    <w:uiPriority w:val="30"/>
    <w:qFormat/>
    <w:rsid w:val="0070575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05752"/>
    <w:rPr>
      <w:i/>
      <w:iCs/>
      <w:color w:val="2F5496" w:themeColor="accent1" w:themeShade="BF"/>
    </w:rPr>
  </w:style>
  <w:style w:type="character" w:styleId="IntenseReference">
    <w:name w:val="Intense Reference"/>
    <w:basedOn w:val="DefaultParagraphFont"/>
    <w:uiPriority w:val="32"/>
    <w:qFormat/>
    <w:rsid w:val="0070575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Sivaraj S</dc:creator>
  <cp:keywords/>
  <dc:description/>
  <cp:lastModifiedBy>Sivaraj S</cp:lastModifiedBy>
  <cp:revision>1</cp:revision>
  <dcterms:created xsi:type="dcterms:W3CDTF">2025-06-18T03:30:00Z</dcterms:created>
  <dcterms:modified xsi:type="dcterms:W3CDTF">2025-06-18T03:31:00Z</dcterms:modified>
</cp:coreProperties>
</file>