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D4159"/>
          <w:sz w:val="48"/>
          <w:szCs w:val="48"/>
        </w:rPr>
        <w:t xml:space="preserve">Expected Outputs</w:t>
      </w:r>
    </w:p>
    <w:p>
      <w:pPr>
        <w:spacing w:after="400"/>
      </w:pPr>
      <w:r>
        <w:rPr>
          <w:rFonts w:ascii="Arial" w:cs="Arial" w:eastAsia="Arial" w:hAnsi="Arial"/>
          <w:color w:val="666666"/>
          <w:sz w:val="24"/>
          <w:szCs w:val="24"/>
        </w:rPr>
        <w:t xml:space="preserve">Multi-Agent Document Intelligence Pipeline — Ground Truth</w:t>
      </w:r>
    </w:p>
    <w:p>
      <w:pPr>
        <w:spacing w:after="200"/>
      </w:pPr>
      <w:r>
        <w:rPr>
          <w:rFonts w:ascii="Arial" w:cs="Arial" w:eastAsia="Arial" w:hAnsi="Arial"/>
          <w:sz w:val="20"/>
          <w:szCs w:val="20"/>
        </w:rPr>
        <w:t xml:space="preserve">This document contains the ground truth expected outputs for each of the four sample documents provided with this assignment. Use it to evaluate your pipeline's accuracy.</w:t>
      </w:r>
    </w:p>
    <w:p>
      <w:pPr>
        <w:spacing w:after="100"/>
      </w:pPr>
      <w:r>
        <w:rPr>
          <w:rFonts w:ascii="Arial" w:cs="Arial" w:eastAsia="Arial" w:hAnsi="Arial"/>
          <w:sz w:val="20"/>
          <w:szCs w:val="20"/>
        </w:rPr>
        <w:t xml:space="preserve">For each document, the expected output comprises four components:</w:t>
      </w:r>
    </w:p>
    <w:p>
      <w:pPr>
        <w:pStyle w:val="ListParagraph"/>
        <w:numPr>
          <w:ilvl w:val="0"/>
          <w:numId w:val="2"/>
        </w:numPr>
      </w:pPr>
      <w:r>
        <w:rPr>
          <w:rFonts w:ascii="Arial" w:cs="Arial" w:eastAsia="Arial" w:hAnsi="Arial"/>
          <w:sz w:val="20"/>
          <w:szCs w:val="20"/>
        </w:rPr>
        <w:t xml:space="preserve">Classification — the document type from the defined taxonomy</w:t>
      </w:r>
    </w:p>
    <w:p>
      <w:pPr>
        <w:pStyle w:val="ListParagraph"/>
        <w:numPr>
          <w:ilvl w:val="0"/>
          <w:numId w:val="2"/>
        </w:numPr>
      </w:pPr>
      <w:r>
        <w:rPr>
          <w:rFonts w:ascii="Arial" w:cs="Arial" w:eastAsia="Arial" w:hAnsi="Arial"/>
          <w:sz w:val="20"/>
          <w:szCs w:val="20"/>
        </w:rPr>
        <w:t xml:space="preserve">Tags — 3–7 lowercase, hyphen-separated semantic tags grounded in document content</w:t>
      </w:r>
    </w:p>
    <w:p>
      <w:pPr>
        <w:pStyle w:val="ListParagraph"/>
        <w:numPr>
          <w:ilvl w:val="0"/>
          <w:numId w:val="2"/>
        </w:numPr>
      </w:pPr>
      <w:r>
        <w:rPr>
          <w:rFonts w:ascii="Arial" w:cs="Arial" w:eastAsia="Arial" w:hAnsi="Arial"/>
          <w:sz w:val="20"/>
          <w:szCs w:val="20"/>
        </w:rPr>
        <w:t xml:space="preserve">Extracted Fields — structured key-value data per the schema defined in the README</w:t>
      </w:r>
    </w:p>
    <w:p>
      <w:pPr>
        <w:pStyle w:val="ListParagraph"/>
        <w:numPr>
          <w:ilvl w:val="0"/>
          <w:numId w:val="2"/>
        </w:numPr>
      </w:pPr>
      <w:r>
        <w:rPr>
          <w:rFonts w:ascii="Arial" w:cs="Arial" w:eastAsia="Arial" w:hAnsi="Arial"/>
          <w:sz w:val="20"/>
          <w:szCs w:val="20"/>
        </w:rPr>
        <w:t xml:space="preserve">Summary — a 2–3 sentence plain-language description of the document</w:t>
      </w:r>
    </w:p>
    <w:p>
      <w:r>
        <w:t xml:space="preserve"/>
      </w:r>
    </w:p>
    <w:p>
      <w:pPr>
        <w:pBdr>
          <w:left w:val="single" w:color="2D4159" w:sz="6" w:space="10"/>
        </w:pBdr>
        <w:spacing w:after="200" w:before="200"/>
        <w:ind w:left="360"/>
      </w:pPr>
      <w:r>
        <w:rPr>
          <w:rFonts w:ascii="Arial" w:cs="Arial" w:eastAsia="Arial" w:hAnsi="Arial"/>
          <w:i/>
          <w:iCs/>
          <w:color w:val="555555"/>
          <w:sz w:val="20"/>
          <w:szCs w:val="20"/>
        </w:rPr>
        <w:t xml:space="preserve">Scoring Note: Partial credit applies. Extracted fields absent from a document should be returned as null rather than omitted. Minor variations in phrasing are acceptable; focus your evaluation on semantic accuracy.</w:t>
      </w:r>
    </w:p>
    <w:p>
      <w:r>
        <w:t xml:space="preserve"/>
      </w:r>
    </w:p>
    <w:p>
      <w:pPr>
        <w:spacing w:after="120"/>
      </w:pPr>
      <w:r>
        <w:rPr>
          <w:rFonts w:ascii="Arial" w:cs="Arial" w:eastAsia="Arial" w:hAnsi="Arial"/>
          <w:b/>
          <w:bCs/>
          <w:color w:val="2D4159"/>
          <w:sz w:val="24"/>
          <w:szCs w:val="24"/>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File</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001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Vendor Contract</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doc_001_vendor_contract.docx</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002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Support Ticket</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doc_002_support_ticket.pdf</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003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Statement of Work</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doc_003_statement_of_work.docx</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004</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Invoice</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doc_004_invoice.pdf</w:t>
            </w:r>
          </w:p>
        </w:tc>
      </w:tr>
    </w:tbl>
    <w:p>
      <w:pPr>
        <w:pStyle w:val="Heading1"/>
      </w:pPr>
      <w:r>
        <w:rPr>
          <w:rFonts w:ascii="Arial" w:cs="Arial" w:eastAsia="Arial" w:hAnsi="Arial"/>
        </w:rPr>
        <w:t xml:space="preserve">Document 001 — Vendor Contract</w:t>
      </w:r>
    </w:p>
    <w:p>
      <w:r>
        <w:t xml:space="preserve"/>
      </w:r>
    </w:p>
    <w:p>
      <w:pPr>
        <w:spacing w:after="100" w:before="200"/>
      </w:pPr>
      <w:r>
        <w:rPr>
          <w:rFonts w:ascii="Arial" w:cs="Arial" w:eastAsia="Arial" w:hAnsi="Arial"/>
          <w:b/>
          <w:bCs/>
          <w:color w:val="2D4159"/>
          <w:sz w:val="22"/>
          <w:szCs w:val="22"/>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Vendor Contract</w:t>
            </w:r>
          </w:p>
        </w:tc>
      </w:tr>
    </w:tbl>
    <w:p>
      <w:r>
        <w:t xml:space="preserve"/>
      </w:r>
    </w:p>
    <w:p>
      <w:pPr>
        <w:spacing w:after="100" w:before="200"/>
      </w:pPr>
      <w:r>
        <w:rPr>
          <w:rFonts w:ascii="Arial" w:cs="Arial" w:eastAsia="Arial" w:hAnsi="Arial"/>
          <w:b/>
          <w:bCs/>
          <w:color w:val="2D4159"/>
          <w:sz w:val="22"/>
          <w:szCs w:val="22"/>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Tags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saas</w:t>
            </w:r>
          </w:p>
          <w:p>
            <w:pPr>
              <w:pStyle w:val="ListParagraph"/>
              <w:numPr>
                <w:ilvl w:val="0"/>
                <w:numId w:val="2"/>
              </w:numPr>
            </w:pPr>
            <w:r>
              <w:rPr>
                <w:rFonts w:ascii="Arial" w:cs="Arial" w:eastAsia="Arial" w:hAnsi="Arial"/>
                <w:sz w:val="20"/>
                <w:szCs w:val="20"/>
              </w:rPr>
              <w:t xml:space="preserve">cloud-infrastructure</w:t>
            </w:r>
          </w:p>
          <w:p>
            <w:pPr>
              <w:pStyle w:val="ListParagraph"/>
              <w:numPr>
                <w:ilvl w:val="0"/>
                <w:numId w:val="2"/>
              </w:numPr>
            </w:pPr>
            <w:r>
              <w:rPr>
                <w:rFonts w:ascii="Arial" w:cs="Arial" w:eastAsia="Arial" w:hAnsi="Arial"/>
                <w:sz w:val="20"/>
                <w:szCs w:val="20"/>
              </w:rPr>
              <w:t xml:space="preserve">auto-renewal</w:t>
            </w:r>
          </w:p>
          <w:p>
            <w:pPr>
              <w:pStyle w:val="ListParagraph"/>
              <w:numPr>
                <w:ilvl w:val="0"/>
                <w:numId w:val="2"/>
              </w:numPr>
            </w:pPr>
            <w:r>
              <w:rPr>
                <w:rFonts w:ascii="Arial" w:cs="Arial" w:eastAsia="Arial" w:hAnsi="Arial"/>
                <w:sz w:val="20"/>
                <w:szCs w:val="20"/>
              </w:rPr>
              <w:t xml:space="preserve">liability-cap</w:t>
            </w:r>
          </w:p>
          <w:p>
            <w:pPr>
              <w:pStyle w:val="ListParagraph"/>
              <w:numPr>
                <w:ilvl w:val="0"/>
                <w:numId w:val="2"/>
              </w:numPr>
            </w:pPr>
            <w:r>
              <w:rPr>
                <w:rFonts w:ascii="Arial" w:cs="Arial" w:eastAsia="Arial" w:hAnsi="Arial"/>
                <w:sz w:val="20"/>
                <w:szCs w:val="20"/>
              </w:rPr>
              <w:t xml:space="preserve">indemnity</w:t>
            </w:r>
          </w:p>
          <w:p>
            <w:pPr>
              <w:pStyle w:val="ListParagraph"/>
              <w:numPr>
                <w:ilvl w:val="0"/>
                <w:numId w:val="2"/>
              </w:numPr>
            </w:pPr>
            <w:r>
              <w:rPr>
                <w:rFonts w:ascii="Arial" w:cs="Arial" w:eastAsia="Arial" w:hAnsi="Arial"/>
                <w:sz w:val="20"/>
                <w:szCs w:val="20"/>
              </w:rPr>
              <w:t xml:space="preserve">net-30</w:t>
            </w:r>
          </w:p>
          <w:p>
            <w:pPr>
              <w:pStyle w:val="ListParagraph"/>
              <w:numPr>
                <w:ilvl w:val="0"/>
                <w:numId w:val="2"/>
              </w:numPr>
            </w:pPr>
            <w:r>
              <w:rPr>
                <w:rFonts w:ascii="Arial" w:cs="Arial" w:eastAsia="Arial" w:hAnsi="Arial"/>
                <w:sz w:val="20"/>
                <w:szCs w:val="20"/>
              </w:rPr>
              <w:t xml:space="preserve">multi-party</w:t>
            </w:r>
          </w:p>
        </w:tc>
      </w:tr>
    </w:tbl>
    <w:p>
      <w:r>
        <w:t xml:space="preserve"/>
      </w:r>
    </w:p>
    <w:p>
      <w:pPr>
        <w:spacing w:after="100" w:before="200"/>
      </w:pPr>
      <w:r>
        <w:rPr>
          <w:rFonts w:ascii="Arial" w:cs="Arial" w:eastAsia="Arial" w:hAnsi="Arial"/>
          <w:b/>
          <w:bCs/>
          <w:color w:val="2D4159"/>
          <w:sz w:val="22"/>
          <w:szCs w:val="22"/>
        </w:rPr>
        <w:t xml:space="preserve">Extracted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Parties &amp; Dates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Parties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Acme Corporation; CloudBase Inc.</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Effective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2024-03-01</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Expiry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2025-02-28</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Commercial Terms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Contract Value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$120,000 USD/year</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Payment Terms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Quarterly in advance at $30,000/quarter; Net-30 from invoice date; 1.5% per month late interest</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Renewal &amp; Termination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Auto-Renewal</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 — auto-renews for successive 1-year terms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Auto-Renewal Notice Period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45 days prior written notice to prevent renewal</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Termination Notice (Convenience)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30 days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Termination Notice (Cause)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15 days to cure after written notice</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Legal</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Governing Law</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State of Delaware</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Dispute Resolution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Binding arbitration via JAMS, New York, NY</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Liability Cap</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Total fees paid or payable in the 12 months immediately preceding the claim</w:t>
            </w:r>
          </w:p>
        </w:tc>
      </w:tr>
    </w:tbl>
    <w:p>
      <w:r>
        <w:t xml:space="preserve"/>
      </w:r>
    </w:p>
    <w:p>
      <w:pPr>
        <w:spacing w:after="100" w:before="200"/>
      </w:pPr>
      <w:r>
        <w:rPr>
          <w:rFonts w:ascii="Arial" w:cs="Arial" w:eastAsia="Arial" w:hAnsi="Arial"/>
          <w:b/>
          <w:bCs/>
          <w:color w:val="2D4159"/>
          <w:sz w:val="22"/>
          <w:szCs w:val="22"/>
        </w:rPr>
        <w:t xml:space="preserve">Summary</w:t>
      </w:r>
    </w:p>
    <w:p>
      <w:pPr>
        <w:spacing w:after="160" w:before="80"/>
      </w:pPr>
      <w:r>
        <w:rPr>
          <w:rFonts w:ascii="Arial" w:cs="Arial" w:eastAsia="Arial" w:hAnsi="Arial"/>
          <w:i/>
          <w:iCs/>
          <w:sz w:val="20"/>
          <w:szCs w:val="20"/>
        </w:rPr>
        <w:t xml:space="preserve">A master services agreement between Acme Corporation and CloudBase Inc. for cloud hosting, managed Kubernetes orchestration, and 24/7 infrastructure monitoring, valued at $120,000/year. The 12-month contract runs from March 2024 to February 2025, auto-renews unless 45 days' notice is given, and caps liability at the prior 12 months of fees paid. Governed by Delaware law with disputes resolved via JAMS arbitration in New York.</w:t>
      </w:r>
    </w:p>
    <w:p>
      <w:pPr>
        <w:pageBreakBefore/>
      </w:pPr>
      <w:r>
        <w:t xml:space="preserve"/>
      </w:r>
    </w:p>
    <w:p>
      <w:pPr>
        <w:pStyle w:val="Heading1"/>
      </w:pPr>
      <w:r>
        <w:rPr>
          <w:rFonts w:ascii="Arial" w:cs="Arial" w:eastAsia="Arial" w:hAnsi="Arial"/>
        </w:rPr>
        <w:t xml:space="preserve">Document 002 — Support Ticket</w:t>
      </w:r>
    </w:p>
    <w:p>
      <w:r>
        <w:t xml:space="preserve"/>
      </w:r>
    </w:p>
    <w:p>
      <w:pPr>
        <w:spacing w:after="100" w:before="200"/>
      </w:pPr>
      <w:r>
        <w:rPr>
          <w:rFonts w:ascii="Arial" w:cs="Arial" w:eastAsia="Arial" w:hAnsi="Arial"/>
          <w:b/>
          <w:bCs/>
          <w:color w:val="2D4159"/>
          <w:sz w:val="22"/>
          <w:szCs w:val="22"/>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Support Ticket</w:t>
            </w:r>
          </w:p>
        </w:tc>
      </w:tr>
    </w:tbl>
    <w:p>
      <w:r>
        <w:t xml:space="preserve"/>
      </w:r>
    </w:p>
    <w:p>
      <w:pPr>
        <w:spacing w:after="100" w:before="200"/>
      </w:pPr>
      <w:r>
        <w:rPr>
          <w:rFonts w:ascii="Arial" w:cs="Arial" w:eastAsia="Arial" w:hAnsi="Arial"/>
          <w:b/>
          <w:bCs/>
          <w:color w:val="2D4159"/>
          <w:sz w:val="22"/>
          <w:szCs w:val="22"/>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Tags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p1</w:t>
            </w:r>
          </w:p>
          <w:p>
            <w:pPr>
              <w:pStyle w:val="ListParagraph"/>
              <w:numPr>
                <w:ilvl w:val="0"/>
                <w:numId w:val="2"/>
              </w:numPr>
            </w:pPr>
            <w:r>
              <w:rPr>
                <w:rFonts w:ascii="Arial" w:cs="Arial" w:eastAsia="Arial" w:hAnsi="Arial"/>
                <w:sz w:val="20"/>
                <w:szCs w:val="20"/>
              </w:rPr>
              <w:t xml:space="preserve">production-down</w:t>
            </w:r>
          </w:p>
          <w:p>
            <w:pPr>
              <w:pStyle w:val="ListParagraph"/>
              <w:numPr>
                <w:ilvl w:val="0"/>
                <w:numId w:val="2"/>
              </w:numPr>
            </w:pPr>
            <w:r>
              <w:rPr>
                <w:rFonts w:ascii="Arial" w:cs="Arial" w:eastAsia="Arial" w:hAnsi="Arial"/>
                <w:sz w:val="20"/>
                <w:szCs w:val="20"/>
              </w:rPr>
              <w:t xml:space="preserve">access</w:t>
            </w:r>
          </w:p>
          <w:p>
            <w:pPr>
              <w:pStyle w:val="ListParagraph"/>
              <w:numPr>
                <w:ilvl w:val="0"/>
                <w:numId w:val="2"/>
              </w:numPr>
            </w:pPr>
            <w:r>
              <w:rPr>
                <w:rFonts w:ascii="Arial" w:cs="Arial" w:eastAsia="Arial" w:hAnsi="Arial"/>
                <w:sz w:val="20"/>
                <w:szCs w:val="20"/>
              </w:rPr>
              <w:t xml:space="preserve">data-loss-risk</w:t>
            </w:r>
          </w:p>
          <w:p>
            <w:pPr>
              <w:pStyle w:val="ListParagraph"/>
              <w:numPr>
                <w:ilvl w:val="0"/>
                <w:numId w:val="2"/>
              </w:numPr>
            </w:pPr>
            <w:r>
              <w:rPr>
                <w:rFonts w:ascii="Arial" w:cs="Arial" w:eastAsia="Arial" w:hAnsi="Arial"/>
                <w:sz w:val="20"/>
                <w:szCs w:val="20"/>
              </w:rPr>
              <w:t xml:space="preserve">erp</w:t>
            </w:r>
          </w:p>
          <w:p>
            <w:pPr>
              <w:pStyle w:val="ListParagraph"/>
              <w:numPr>
                <w:ilvl w:val="0"/>
                <w:numId w:val="2"/>
              </w:numPr>
            </w:pPr>
            <w:r>
              <w:rPr>
                <w:rFonts w:ascii="Arial" w:cs="Arial" w:eastAsia="Arial" w:hAnsi="Arial"/>
                <w:sz w:val="20"/>
                <w:szCs w:val="20"/>
              </w:rPr>
              <w:t xml:space="preserve">ldap</w:t>
            </w:r>
          </w:p>
          <w:p>
            <w:pPr>
              <w:pStyle w:val="ListParagraph"/>
              <w:numPr>
                <w:ilvl w:val="0"/>
                <w:numId w:val="2"/>
              </w:numPr>
            </w:pPr>
            <w:r>
              <w:rPr>
                <w:rFonts w:ascii="Arial" w:cs="Arial" w:eastAsia="Arial" w:hAnsi="Arial"/>
                <w:sz w:val="20"/>
                <w:szCs w:val="20"/>
              </w:rPr>
              <w:t xml:space="preserve">resolved</w:t>
            </w:r>
          </w:p>
        </w:tc>
      </w:tr>
    </w:tbl>
    <w:p>
      <w:r>
        <w:t xml:space="preserve"/>
      </w:r>
    </w:p>
    <w:p>
      <w:pPr>
        <w:spacing w:after="100" w:before="200"/>
      </w:pPr>
      <w:r>
        <w:rPr>
          <w:rFonts w:ascii="Arial" w:cs="Arial" w:eastAsia="Arial" w:hAnsi="Arial"/>
          <w:b/>
          <w:bCs/>
          <w:color w:val="2D4159"/>
          <w:sz w:val="22"/>
          <w:szCs w:val="22"/>
        </w:rPr>
        <w:t xml:space="preserve">Extracted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Ticket Metadata</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Ticket ID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INC-2024-08471</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Submitted By</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Priya Mehta (priya.mehta@acmecorp.com)</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Submitted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2024-07-15</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Access / Data Loss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Affected System</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Oracle Financials ERP (Production)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Assigned 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Platform Engineering Team</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Current Status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Resolved</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Issue Details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Four Accounts Payable team members unable to log into Oracle Financials ERP since 9:00 AM IST on 2024-07-15. Error: ORA-01017 invalid username/password. Suspected cause: Oracle LDAP connector not synced after a mass AD password rotation on July 14 at 11:30 PM.</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Oracle LDAP connector sync job failed silently after AD password rotation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Resolved By</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Vikram Nair (vikram.nair@acmecorp.com)</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Resolution Time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hour 33 minutes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Resolution Notes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Manually re-triggered LDAP sync at 10:45 AM; sync completed at 11:10 AM. All affected users confirmed able to log in. Post-mortem scheduled for July 17.</w:t>
            </w:r>
          </w:p>
        </w:tc>
      </w:tr>
    </w:tbl>
    <w:p>
      <w:r>
        <w:t xml:space="preserve"/>
      </w:r>
    </w:p>
    <w:p>
      <w:pPr>
        <w:spacing w:after="100" w:before="200"/>
      </w:pPr>
      <w:r>
        <w:rPr>
          <w:rFonts w:ascii="Arial" w:cs="Arial" w:eastAsia="Arial" w:hAnsi="Arial"/>
          <w:b/>
          <w:bCs/>
          <w:color w:val="2D4159"/>
          <w:sz w:val="22"/>
          <w:szCs w:val="22"/>
        </w:rPr>
        <w:t xml:space="preserve">Summary</w:t>
      </w:r>
    </w:p>
    <w:p>
      <w:pPr>
        <w:spacing w:after="160" w:before="80"/>
      </w:pPr>
      <w:r>
        <w:rPr>
          <w:rFonts w:ascii="Arial" w:cs="Arial" w:eastAsia="Arial" w:hAnsi="Arial"/>
          <w:i/>
          <w:iCs/>
          <w:sz w:val="20"/>
          <w:szCs w:val="20"/>
        </w:rPr>
        <w:t xml:space="preserve">A critical IT support ticket from Priya Mehta (Accounts Payable) reporting that four team members were locked out of Oracle Financials ERP on July 15, 2024, blocking ₹1.8 crore in time-sensitive vendor payments. Root cause was the LDAP connector failing to sync after a scheduled AD password rotation. Resolved by Vikram Nair in under 2 hours by manually re-triggering the LDAP sync.</w:t>
      </w:r>
    </w:p>
    <w:p>
      <w:pPr>
        <w:pageBreakBefore/>
      </w:pPr>
      <w:r>
        <w:t xml:space="preserve"/>
      </w:r>
    </w:p>
    <w:p>
      <w:pPr>
        <w:pStyle w:val="Heading1"/>
      </w:pPr>
      <w:r>
        <w:rPr>
          <w:rFonts w:ascii="Arial" w:cs="Arial" w:eastAsia="Arial" w:hAnsi="Arial"/>
        </w:rPr>
        <w:t xml:space="preserve">Document 003 — Statement of Work</w:t>
      </w:r>
    </w:p>
    <w:p>
      <w:r>
        <w:t xml:space="preserve"/>
      </w:r>
    </w:p>
    <w:p>
      <w:pPr>
        <w:spacing w:after="100" w:before="200"/>
      </w:pPr>
      <w:r>
        <w:rPr>
          <w:rFonts w:ascii="Arial" w:cs="Arial" w:eastAsia="Arial" w:hAnsi="Arial"/>
          <w:b/>
          <w:bCs/>
          <w:color w:val="2D4159"/>
          <w:sz w:val="22"/>
          <w:szCs w:val="22"/>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Statement of Work</w:t>
            </w:r>
          </w:p>
        </w:tc>
      </w:tr>
    </w:tbl>
    <w:p>
      <w:r>
        <w:t xml:space="preserve"/>
      </w:r>
    </w:p>
    <w:p>
      <w:pPr>
        <w:spacing w:after="100" w:before="200"/>
      </w:pPr>
      <w:r>
        <w:rPr>
          <w:rFonts w:ascii="Arial" w:cs="Arial" w:eastAsia="Arial" w:hAnsi="Arial"/>
          <w:b/>
          <w:bCs/>
          <w:color w:val="2D4159"/>
          <w:sz w:val="22"/>
          <w:szCs w:val="22"/>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Tags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ai</w:t>
            </w:r>
          </w:p>
          <w:p>
            <w:pPr>
              <w:pStyle w:val="ListParagraph"/>
              <w:numPr>
                <w:ilvl w:val="0"/>
                <w:numId w:val="2"/>
              </w:numPr>
            </w:pPr>
            <w:r>
              <w:rPr>
                <w:rFonts w:ascii="Arial" w:cs="Arial" w:eastAsia="Arial" w:hAnsi="Arial"/>
                <w:sz w:val="20"/>
                <w:szCs w:val="20"/>
              </w:rPr>
              <w:t xml:space="preserve">document-processing</w:t>
            </w:r>
          </w:p>
          <w:p>
            <w:pPr>
              <w:pStyle w:val="ListParagraph"/>
              <w:numPr>
                <w:ilvl w:val="0"/>
                <w:numId w:val="2"/>
              </w:numPr>
            </w:pPr>
            <w:r>
              <w:rPr>
                <w:rFonts w:ascii="Arial" w:cs="Arial" w:eastAsia="Arial" w:hAnsi="Arial"/>
                <w:sz w:val="20"/>
                <w:szCs w:val="20"/>
              </w:rPr>
              <w:t xml:space="preserve">ocr</w:t>
            </w:r>
          </w:p>
          <w:p>
            <w:pPr>
              <w:pStyle w:val="ListParagraph"/>
              <w:numPr>
                <w:ilvl w:val="0"/>
                <w:numId w:val="2"/>
              </w:numPr>
            </w:pPr>
            <w:r>
              <w:rPr>
                <w:rFonts w:ascii="Arial" w:cs="Arial" w:eastAsia="Arial" w:hAnsi="Arial"/>
                <w:sz w:val="20"/>
                <w:szCs w:val="20"/>
              </w:rPr>
              <w:t xml:space="preserve">milestone-based</w:t>
            </w:r>
          </w:p>
          <w:p>
            <w:pPr>
              <w:pStyle w:val="ListParagraph"/>
              <w:numPr>
                <w:ilvl w:val="0"/>
                <w:numId w:val="2"/>
              </w:numPr>
            </w:pPr>
            <w:r>
              <w:rPr>
                <w:rFonts w:ascii="Arial" w:cs="Arial" w:eastAsia="Arial" w:hAnsi="Arial"/>
                <w:sz w:val="20"/>
                <w:szCs w:val="20"/>
              </w:rPr>
              <w:t xml:space="preserve">fintech</w:t>
            </w:r>
          </w:p>
          <w:p>
            <w:pPr>
              <w:pStyle w:val="ListParagraph"/>
              <w:numPr>
                <w:ilvl w:val="0"/>
                <w:numId w:val="2"/>
              </w:numPr>
            </w:pPr>
            <w:r>
              <w:rPr>
                <w:rFonts w:ascii="Arial" w:cs="Arial" w:eastAsia="Arial" w:hAnsi="Arial"/>
                <w:sz w:val="20"/>
                <w:szCs w:val="20"/>
              </w:rPr>
              <w:t xml:space="preserve">multi-party</w:t>
            </w:r>
          </w:p>
          <w:p>
            <w:pPr>
              <w:pStyle w:val="ListParagraph"/>
              <w:numPr>
                <w:ilvl w:val="0"/>
                <w:numId w:val="2"/>
              </w:numPr>
            </w:pPr>
            <w:r>
              <w:rPr>
                <w:rFonts w:ascii="Arial" w:cs="Arial" w:eastAsia="Arial" w:hAnsi="Arial"/>
                <w:sz w:val="20"/>
                <w:szCs w:val="20"/>
              </w:rPr>
              <w:t xml:space="preserve">saas</w:t>
            </w:r>
          </w:p>
        </w:tc>
      </w:tr>
    </w:tbl>
    <w:p>
      <w:r>
        <w:t xml:space="preserve"/>
      </w:r>
    </w:p>
    <w:p>
      <w:pPr>
        <w:spacing w:after="100" w:before="200"/>
      </w:pPr>
      <w:r>
        <w:rPr>
          <w:rFonts w:ascii="Arial" w:cs="Arial" w:eastAsia="Arial" w:hAnsi="Arial"/>
          <w:b/>
          <w:bCs/>
          <w:color w:val="2D4159"/>
          <w:sz w:val="22"/>
          <w:szCs w:val="22"/>
        </w:rPr>
        <w:t xml:space="preserve">Extracted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Project Overview</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Intelligent Document Processing Automation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SOW Number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ENT-SOW-2024-019</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Client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NovaBridge Financial Services Pvt. Ltd.</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Vendor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Ententia AI Solutions Pvt. Ltd.</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Start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2024-09-20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End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2025-02-07</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Total Budget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₹40,00,000</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Document Ingestion &amp; Pre-processing Module (PDF, JPEG, PNG, TIFF + OCR)</w:t>
            </w:r>
          </w:p>
          <w:p>
            <w:pPr>
              <w:pStyle w:val="ListParagraph"/>
              <w:numPr>
                <w:ilvl w:val="0"/>
                <w:numId w:val="2"/>
              </w:numPr>
            </w:pPr>
            <w:r>
              <w:rPr>
                <w:rFonts w:ascii="Arial" w:cs="Arial" w:eastAsia="Arial" w:hAnsi="Arial"/>
                <w:sz w:val="20"/>
                <w:szCs w:val="20"/>
              </w:rPr>
              <w:t xml:space="preserve">Document Classification Engine — 7 classes, ≥95% accuracy</w:t>
            </w:r>
          </w:p>
          <w:p>
            <w:pPr>
              <w:pStyle w:val="ListParagraph"/>
              <w:numPr>
                <w:ilvl w:val="0"/>
                <w:numId w:val="2"/>
              </w:numPr>
            </w:pPr>
            <w:r>
              <w:rPr>
                <w:rFonts w:ascii="Arial" w:cs="Arial" w:eastAsia="Arial" w:hAnsi="Arial"/>
                <w:sz w:val="20"/>
                <w:szCs w:val="20"/>
              </w:rPr>
              <w:t xml:space="preserve">Intelligent Field Extraction with confidence scoring and human-review queue</w:t>
            </w:r>
          </w:p>
          <w:p>
            <w:pPr>
              <w:pStyle w:val="ListParagraph"/>
              <w:numPr>
                <w:ilvl w:val="0"/>
                <w:numId w:val="2"/>
              </w:numPr>
            </w:pPr>
            <w:r>
              <w:rPr>
                <w:rFonts w:ascii="Arial" w:cs="Arial" w:eastAsia="Arial" w:hAnsi="Arial"/>
                <w:sz w:val="20"/>
                <w:szCs w:val="20"/>
              </w:rPr>
              <w:t xml:space="preserve">Validation &amp; Business Rules Engine with cross-document checks</w:t>
            </w:r>
          </w:p>
          <w:p>
            <w:pPr>
              <w:pStyle w:val="ListParagraph"/>
              <w:numPr>
                <w:ilvl w:val="0"/>
                <w:numId w:val="2"/>
              </w:numPr>
            </w:pPr>
            <w:r>
              <w:rPr>
                <w:rFonts w:ascii="Arial" w:cs="Arial" w:eastAsia="Arial" w:hAnsi="Arial"/>
                <w:sz w:val="20"/>
                <w:szCs w:val="20"/>
              </w:rPr>
              <w:t xml:space="preserve">REST API integration with Nucleus Software Finnone + webhook support</w:t>
            </w:r>
          </w:p>
          <w:p>
            <w:pPr>
              <w:pStyle w:val="ListParagraph"/>
              <w:numPr>
                <w:ilvl w:val="0"/>
                <w:numId w:val="2"/>
              </w:numPr>
            </w:pPr>
            <w:r>
              <w:rPr>
                <w:rFonts w:ascii="Arial" w:cs="Arial" w:eastAsia="Arial" w:hAnsi="Arial"/>
                <w:sz w:val="20"/>
                <w:szCs w:val="20"/>
              </w:rPr>
              <w:t xml:space="preserve">Admin dashboard for throughput and accuracy monitoring</w:t>
            </w:r>
          </w:p>
          <w:p>
            <w:pPr>
              <w:pStyle w:val="ListParagraph"/>
              <w:numPr>
                <w:ilvl w:val="0"/>
                <w:numId w:val="2"/>
              </w:numPr>
            </w:pPr>
            <w:r>
              <w:rPr>
                <w:rFonts w:ascii="Arial" w:cs="Arial" w:eastAsia="Arial" w:hAnsi="Arial"/>
                <w:sz w:val="20"/>
                <w:szCs w:val="20"/>
              </w:rPr>
              <w:t xml:space="preserve">Testing, UAT support (2 rounds), documentation, and on-site training</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Payment Milestones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Milestone 1</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Architecture Sign-off — ₹8,00,000 — Due 2024-09-20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Milestone 2</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Ingestion Pipeline &amp; Classifier (Beta) — ₹10,00,000 — Due 2024-10-25</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Milestone 3</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Extraction Engine &amp; Validation Rules — ₹12,00,000 — Due 2024-12-06</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Milestone 4</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API Layer, Dashboard &amp; UAT — ₹8,00,000 — Due 2025-01-17</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Milestone 5</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Go-Live, Training &amp; Documentation — ₹2,00,000 — Due 2025-02-07</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Key Contacts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Client — Exec Sponsor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Ramesh Iyer (CTO) — ramesh.iyer@novabridge.in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Client — Project Lead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Kavitha Subramaniam — kavitha.s@novabridge.in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Client — IT Integration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Yash Malhotra — yash.malhotra@novabridge.in</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Vendor — Engagement Manager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Nishant Shah — nishant.shah@ententia.ai</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Vendor — Technical Lead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Arjun Pillai — arjun.pillai@ententia.ai</w:t>
            </w:r>
          </w:p>
        </w:tc>
      </w:tr>
    </w:tbl>
    <w:p>
      <w:r>
        <w:t xml:space="preserve"/>
      </w:r>
    </w:p>
    <w:p>
      <w:pPr>
        <w:spacing w:after="100" w:before="200"/>
      </w:pPr>
      <w:r>
        <w:rPr>
          <w:rFonts w:ascii="Arial" w:cs="Arial" w:eastAsia="Arial" w:hAnsi="Arial"/>
          <w:b/>
          <w:bCs/>
          <w:color w:val="2D4159"/>
          <w:sz w:val="22"/>
          <w:szCs w:val="22"/>
        </w:rPr>
        <w:t xml:space="preserve">Summary</w:t>
      </w:r>
    </w:p>
    <w:p>
      <w:pPr>
        <w:spacing w:after="160" w:before="80"/>
      </w:pPr>
      <w:r>
        <w:rPr>
          <w:rFonts w:ascii="Arial" w:cs="Arial" w:eastAsia="Arial" w:hAnsi="Arial"/>
          <w:i/>
          <w:iCs/>
          <w:sz w:val="20"/>
          <w:szCs w:val="20"/>
        </w:rPr>
        <w:t xml:space="preserve">A 20-week statement of work between NovaBridge Financial Services and Ententia AI Solutions to build an AI-powered Intelligent Document Processing system for automating loan application document classification, extraction, and validation. The project runs from September 2024 to February 2025, covers 7 document classes, and is valued at ₹40,00,000 paid across 5 milestones. It includes OCR, a classification engine targeting ≥95% accuracy, field extraction with confidence scoring, validation rules, and integration with NovaBridge's Finnone loan origination system.</w:t>
      </w:r>
    </w:p>
    <w:p>
      <w:pPr>
        <w:pageBreakBefore/>
      </w:pPr>
      <w:r>
        <w:t xml:space="preserve"/>
      </w:r>
    </w:p>
    <w:p>
      <w:pPr>
        <w:pStyle w:val="Heading1"/>
      </w:pPr>
      <w:r>
        <w:rPr>
          <w:rFonts w:ascii="Arial" w:cs="Arial" w:eastAsia="Arial" w:hAnsi="Arial"/>
        </w:rPr>
        <w:t xml:space="preserve">Document 004 — Invoice</w:t>
      </w:r>
    </w:p>
    <w:p>
      <w:r>
        <w:t xml:space="preserve"/>
      </w:r>
    </w:p>
    <w:p>
      <w:pPr>
        <w:spacing w:after="100" w:before="200"/>
      </w:pPr>
      <w:r>
        <w:rPr>
          <w:rFonts w:ascii="Arial" w:cs="Arial" w:eastAsia="Arial" w:hAnsi="Arial"/>
          <w:b/>
          <w:bCs/>
          <w:color w:val="2D4159"/>
          <w:sz w:val="22"/>
          <w:szCs w:val="22"/>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Invoice</w:t>
            </w:r>
          </w:p>
        </w:tc>
      </w:tr>
    </w:tbl>
    <w:p>
      <w:r>
        <w:t xml:space="preserve"/>
      </w:r>
    </w:p>
    <w:p>
      <w:pPr>
        <w:spacing w:after="100" w:before="200"/>
      </w:pPr>
      <w:r>
        <w:rPr>
          <w:rFonts w:ascii="Arial" w:cs="Arial" w:eastAsia="Arial" w:hAnsi="Arial"/>
          <w:b/>
          <w:bCs/>
          <w:color w:val="2D4159"/>
          <w:sz w:val="22"/>
          <w:szCs w:val="22"/>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Tags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milestone-payment</w:t>
            </w:r>
          </w:p>
          <w:p>
            <w:pPr>
              <w:pStyle w:val="ListParagraph"/>
              <w:numPr>
                <w:ilvl w:val="0"/>
                <w:numId w:val="2"/>
              </w:numPr>
            </w:pPr>
            <w:r>
              <w:rPr>
                <w:rFonts w:ascii="Arial" w:cs="Arial" w:eastAsia="Arial" w:hAnsi="Arial"/>
                <w:sz w:val="20"/>
                <w:szCs w:val="20"/>
              </w:rPr>
              <w:t xml:space="preserve">net-30</w:t>
            </w:r>
          </w:p>
          <w:p>
            <w:pPr>
              <w:pStyle w:val="ListParagraph"/>
              <w:numPr>
                <w:ilvl w:val="0"/>
                <w:numId w:val="2"/>
              </w:numPr>
            </w:pPr>
            <w:r>
              <w:rPr>
                <w:rFonts w:ascii="Arial" w:cs="Arial" w:eastAsia="Arial" w:hAnsi="Arial"/>
                <w:sz w:val="20"/>
                <w:szCs w:val="20"/>
              </w:rPr>
              <w:t xml:space="preserve">gst</w:t>
            </w:r>
          </w:p>
          <w:p>
            <w:pPr>
              <w:pStyle w:val="ListParagraph"/>
              <w:numPr>
                <w:ilvl w:val="0"/>
                <w:numId w:val="2"/>
              </w:numPr>
            </w:pPr>
            <w:r>
              <w:rPr>
                <w:rFonts w:ascii="Arial" w:cs="Arial" w:eastAsia="Arial" w:hAnsi="Arial"/>
                <w:sz w:val="20"/>
                <w:szCs w:val="20"/>
              </w:rPr>
              <w:t xml:space="preserve">change-order</w:t>
            </w:r>
          </w:p>
          <w:p>
            <w:pPr>
              <w:pStyle w:val="ListParagraph"/>
              <w:numPr>
                <w:ilvl w:val="0"/>
                <w:numId w:val="2"/>
              </w:numPr>
            </w:pPr>
            <w:r>
              <w:rPr>
                <w:rFonts w:ascii="Arial" w:cs="Arial" w:eastAsia="Arial" w:hAnsi="Arial"/>
                <w:sz w:val="20"/>
                <w:szCs w:val="20"/>
              </w:rPr>
              <w:t xml:space="preserve">saas</w:t>
            </w:r>
          </w:p>
          <w:p>
            <w:pPr>
              <w:pStyle w:val="ListParagraph"/>
              <w:numPr>
                <w:ilvl w:val="0"/>
                <w:numId w:val="2"/>
              </w:numPr>
            </w:pPr>
            <w:r>
              <w:rPr>
                <w:rFonts w:ascii="Arial" w:cs="Arial" w:eastAsia="Arial" w:hAnsi="Arial"/>
                <w:sz w:val="20"/>
                <w:szCs w:val="20"/>
              </w:rPr>
              <w:t xml:space="preserve">ai</w:t>
            </w:r>
          </w:p>
          <w:p>
            <w:pPr>
              <w:pStyle w:val="ListParagraph"/>
              <w:numPr>
                <w:ilvl w:val="0"/>
                <w:numId w:val="2"/>
              </w:numPr>
            </w:pPr>
            <w:r>
              <w:rPr>
                <w:rFonts w:ascii="Arial" w:cs="Arial" w:eastAsia="Arial" w:hAnsi="Arial"/>
                <w:sz w:val="20"/>
                <w:szCs w:val="20"/>
              </w:rPr>
              <w:t xml:space="preserve">b2b</w:t>
            </w:r>
          </w:p>
        </w:tc>
      </w:tr>
    </w:tbl>
    <w:p>
      <w:r>
        <w:t xml:space="preserve"/>
      </w:r>
    </w:p>
    <w:p>
      <w:pPr>
        <w:spacing w:after="100" w:before="200"/>
      </w:pPr>
      <w:r>
        <w:rPr>
          <w:rFonts w:ascii="Arial" w:cs="Arial" w:eastAsia="Arial" w:hAnsi="Arial"/>
          <w:b/>
          <w:bCs/>
          <w:color w:val="2D4159"/>
          <w:sz w:val="22"/>
          <w:szCs w:val="22"/>
        </w:rPr>
        <w:t xml:space="preserve">Extracted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Invoice Metadata</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Invoice Number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ENT-INV-2024-0043</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Invoice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2024-10-28</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Due 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2024-11-27</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Payment Terms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Net-30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Reference SOW</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ENT-SOW-2024-019</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Vendor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Ententia AI Solutions Pvt. Ltd.</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Client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NovaBridge Financial Services Pvt. Ltd.</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Line Items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Line Item 1</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Milestone 2 Delivery: Document Ingestion Pipeline &amp; Classification Model (Beta) — Qty: 1 — ₹10,00,000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Line Item 2</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Additional Data Annotation Services (Change Order CO-2024-003) — 40 hrs × ₹3,500 — ₹1,40,000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Line Item 3</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Cloud Infrastructure Setup &amp; Configuration (one-time, at cost) — Qty: 1 — ₹60,000</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Totals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Subtotal</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₹12,00,000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GST (18%)</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₹2,16,000</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Total Amount Due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₹14,16,000</w:t>
            </w:r>
          </w:p>
        </w:tc>
      </w:tr>
      <w:tr>
        <w:tc>
          <w:tcPr>
            <w:tcW w:type="dxa" w:w="9360"/>
            <w:gridSpan w:val="2"/>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2D4159"/>
                <w:sz w:val="20"/>
                <w:szCs w:val="20"/>
              </w:rPr>
              <w:t xml:space="preserve">Payment Instructions</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Bank</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HDFC Bank Ltd., Noida Sector 18</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Account Name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Ententia AI Solutions Pvt. Ltd.</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Account Number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50200098765432</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IFSC Code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HDFC0001234</w:t>
            </w:r>
          </w:p>
        </w:tc>
      </w:tr>
      <w:tr>
        <w:tc>
          <w:tcPr>
            <w:tcW w:type="dxa" w:w="2200"/>
            <w:tcBorders>
              <w:top w:val="single" w:color="CCCCCC" w:sz="1"/>
              <w:left w:val="single" w:color="CCCCCC" w:sz="1"/>
              <w:bottom w:val="single" w:color="CCCCCC" w:sz="1"/>
              <w:right w:val="single" w:color="CCCCCC" w:sz="1"/>
            </w:tcBorders>
            <w:shd w:fill="2D4159" w:val="clear"/>
            <w:tcMar>
              <w:top w:type="dxa" w:w="80"/>
              <w:left w:type="dxa" w:w="140"/>
              <w:bottom w:type="dxa" w:w="80"/>
              <w:right w:type="dxa" w:w="140"/>
            </w:tcMar>
          </w:tcPr>
          <w:p>
            <w:r>
              <w:rPr>
                <w:rFonts w:ascii="Arial" w:cs="Arial" w:eastAsia="Arial" w:hAnsi="Arial"/>
                <w:b/>
                <w:bCs/>
                <w:color w:val="FFFFFF"/>
                <w:sz w:val="20"/>
                <w:szCs w:val="20"/>
              </w:rPr>
              <w:t xml:space="preserve">UPI / Email</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billing@ententia.ai</w:t>
            </w:r>
          </w:p>
        </w:tc>
      </w:tr>
    </w:tbl>
    <w:p>
      <w:r>
        <w:t xml:space="preserve"/>
      </w:r>
    </w:p>
    <w:p>
      <w:pPr>
        <w:spacing w:after="100" w:before="200"/>
      </w:pPr>
      <w:r>
        <w:rPr>
          <w:rFonts w:ascii="Arial" w:cs="Arial" w:eastAsia="Arial" w:hAnsi="Arial"/>
          <w:b/>
          <w:bCs/>
          <w:color w:val="2D4159"/>
          <w:sz w:val="22"/>
          <w:szCs w:val="22"/>
        </w:rPr>
        <w:t xml:space="preserve">Summary</w:t>
      </w:r>
    </w:p>
    <w:p>
      <w:pPr>
        <w:spacing w:after="160" w:before="80"/>
      </w:pPr>
      <w:r>
        <w:rPr>
          <w:rFonts w:ascii="Arial" w:cs="Arial" w:eastAsia="Arial" w:hAnsi="Arial"/>
          <w:i/>
          <w:iCs/>
          <w:sz w:val="20"/>
          <w:szCs w:val="20"/>
        </w:rPr>
        <w:t xml:space="preserve">An invoice from Ententia AI Solutions to NovaBridge Financial Services for ₹14,16,000 (including 18% GST), due November 27, 2024. The invoice covers Milestone 2 delivery of the document ingestion pipeline and classifier (₹10,00,000), additional annotation services under Change Order CO-2024-003 (₹1,40,000), and one-time AWS infrastructure setup (₹60,000), all under SOW ENT-SOW-2024-019.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Ententia AI Solutions  |  Coding Assignment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415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415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2026-06-11T17:28:45.648Z</dcterms:created>
  <dcterms:modified xsi:type="dcterms:W3CDTF">2026-06-11T17:28:45.674Z</dcterms:modified>
</cp:coreProperties>
</file>

<file path=docProps/custom.xml><?xml version="1.0" encoding="utf-8"?>
<Properties xmlns="http://schemas.openxmlformats.org/officeDocument/2006/custom-properties" xmlns:vt="http://schemas.openxmlformats.org/officeDocument/2006/docPropsVTypes"/>
</file>