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00"/>
        <w:jc w:val="center"/>
      </w:pPr>
      <w:r>
        <w:rPr>
          <w:b/>
          <w:bCs/>
          <w:color w:val="2F5597"/>
          <w:sz w:val="44"/>
          <w:szCs w:val="44"/>
        </w:rPr>
        <w:t xml:space="preserve">Exploratory Data Analysis (EDA) Report</w:t>
      </w:r>
    </w:p>
    <w:p>
      <w:pPr>
        <w:spacing w:after="60"/>
        <w:jc w:val="center"/>
      </w:pPr>
      <w:r>
        <w:rPr>
          <w:color w:val="666666"/>
          <w:sz w:val="28"/>
          <w:szCs w:val="28"/>
        </w:rPr>
        <w:t xml:space="preserve">ApexPlanet Sales Transactions Dataset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Data Analytics Internship — Task 2: EDA &amp; Business Intelligence</w:t>
      </w:r>
    </w:p>
    <w:p>
      <w:pPr>
        <w:spacing w:after="60"/>
        <w:jc w:val="center"/>
      </w:pPr>
      <w:r>
        <w:rPr>
          <w:sz w:val="22"/>
          <w:szCs w:val="22"/>
        </w:rPr>
        <w:t xml:space="preserve">Prepared by: Sivaram</w:t>
      </w:r>
    </w:p>
    <w:p>
      <w:pPr>
        <w:spacing w:after="60"/>
        <w:jc w:val="center"/>
      </w:pPr>
      <w:r>
        <w:rPr>
          <w:sz w:val="22"/>
          <w:szCs w:val="22"/>
        </w:rPr>
        <w:t xml:space="preserve">Dataset: ApexPlanet_Cleaned_Dataset.xlsx (1,000 orders x 18 fields)</w:t>
      </w:r>
    </w:p>
    <w:p>
      <w:pPr>
        <w:spacing w:after="60"/>
        <w:jc w:val="center"/>
      </w:pPr>
      <w:r>
        <w:rPr>
          <w:sz w:val="22"/>
          <w:szCs w:val="22"/>
        </w:rPr>
        <w:t xml:space="preserve">July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rPr>
          <w:sz w:val="22"/>
          <w:szCs w:val="22"/>
        </w:rPr>
        <w:t xml:space="preserve">This report presents an exploratory analysis of 1,000 cleaned sales transactions from the ApexPlanet dataset, covering the period January 2025 to January 2026 across 8 Indian cities, 6 products, and 5 categories. The goal is to surface patterns, relationships, and business-relevant findings using descriptive statistics, univariate and multivariate visualizations, and SQL-based analysis.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 revenue across the dataset is ₹13.94 crore (₹139,399,440), from 1,000 orders averaging ₹139,399 each.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Electronics is the dominant category by order volume (354 orders, 35%) and by revenue, driven mainly by Laptop and Mobile.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Order value is right-skewed (skewness ≈ 0.99) — most orders cluster below ₹150K, with a longer tail of high-value Electronics/Furniture orders.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Total_Sales correlates moderately with both Unit_Price (r = 0.69) and Quantity (r = 0.65) — both drive revenue roughly equally; Age has virtually no correlation with order value (r ≈ 0.00).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Revenue is fairly evenly spread across cities (Kolkata, Bengaluru and Patna lead) — no single city dominates, suggesting a genuinely pan-India customer 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Male customers contribute slightly more revenue (52.4%) than female customers (47.6%), a modest, not dramatic, split.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Monthly revenue is volatile (no strong seasonal trend) with growth swinging from +36% to -20% month-over-month; September 2025 was the weakest month, October the strongest rebound.</w:t>
      </w:r>
    </w:p>
    <w:p>
      <w:pPr>
        <w:pStyle w:val="Heading1"/>
        <w:spacing w:after="160" w:before="320"/>
      </w:pPr>
      <w:r>
        <w:t xml:space="preserve">2. Descriptive Statistics &amp; Univariate Analysis</w:t>
      </w:r>
    </w:p>
    <w:p>
      <w:pPr>
        <w:pStyle w:val="Heading2"/>
        <w:spacing w:after="120" w:before="240"/>
      </w:pPr>
      <w:r>
        <w:t xml:space="preserve">2.1 Numeric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20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</w:t>
            </w:r>
          </w:p>
        </w:tc>
        <w:tc>
          <w:tcPr>
            <w:tcW w:type="pct" w:w="18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Std Dev</w:t>
            </w:r>
          </w:p>
        </w:tc>
        <w:tc>
          <w:tcPr>
            <w:tcW w:type="pct" w:w="14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pct" w:w="14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Median</w:t>
            </w:r>
          </w:p>
        </w:tc>
        <w:tc>
          <w:tcPr>
            <w:tcW w:type="pct" w:w="14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 (years)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41.3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13.7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Quantity (units)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5.4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2.8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Price (₹)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25,487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14,179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146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25,399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49,998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Sales (₹)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139,399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114,100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437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108,594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493,678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2"/>
          <w:szCs w:val="22"/>
        </w:rPr>
        <w:t xml:space="preserve">Age and Quantity are close to uniformly distributed across their ranges (near-zero skew), consistent with how they were generated. Total_Sales is the most interesting field: its mean (₹139,399) sits noticeably above its median (₹108,594), and its positive skew (≈0.99) confirms a distribution with a long right tail — a smaller number of very high-value orders pull the average up. This matters for reporting: median or trimmed-mean order value is a more representative 'typical order' figure than the mean alone.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1. Distribution of Customer Age — broadly uniform across 18-65.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2. Distribution of Total Sales — right-skewed with a long tail of high-value orders.</w:t>
      </w:r>
    </w:p>
    <w:p>
      <w:pPr>
        <w:pStyle w:val="Heading2"/>
        <w:spacing w:after="120" w:before="240"/>
      </w:pPr>
      <w:r>
        <w:t xml:space="preserve">2.2 Categorical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25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 Value</w:t>
            </w:r>
          </w:p>
        </w:tc>
        <w:tc>
          <w:tcPr>
            <w:tcW w:type="pct" w:w="15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  <w:tc>
          <w:tcPr>
            <w:tcW w:type="pct" w:w="40%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Electronics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35.4%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354 of 1,000 orders; Mobile + Laptop combined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Gender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Male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51.1%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Fairly balanced — 511 Male vs 489 Female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City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Patna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13.5%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 cities + 13 'Unknown' (was missing City)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 Group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36-45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22.3%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Broadly even spread across 5 age bands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Revenue Tier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 (100k-250k)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36.8%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Engineered tier; 17% of orders are 'Very High' (&gt;250k)</w:t>
            </w:r>
          </w:p>
        </w:tc>
      </w:tr>
    </w:tbl>
    <w:p>
      <w:pPr>
        <w:spacing w:after="160"/>
      </w:pPr>
    </w:p>
    <w:p>
      <w:pPr>
        <w:spacing w:after="60" w:before="12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3. Order counts by product category — Electronics leads by a wide margin.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4. Total revenue by city — a fairly even geographic spread; 'Unknown' bucket (grey) holds the 13 orders with missing city data and trails well behind, as expected.</w:t>
      </w:r>
    </w:p>
    <w:p>
      <w:pPr>
        <w:spacing w:after="60" w:before="120"/>
        <w:jc w:val="center"/>
      </w:pPr>
      <w:r>
        <w:drawing>
          <wp:inline distT="0" distB="0" distL="0" distR="0">
            <wp:extent cx="333375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5. Orders by gender — a near-even split.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6. Orders by revenue tier — most orders fall in the Medium-High range.</w:t>
      </w:r>
    </w:p>
    <w:p>
      <w:pPr>
        <w:pStyle w:val="Heading1"/>
        <w:spacing w:after="160" w:before="320"/>
      </w:pPr>
      <w:r>
        <w:t xml:space="preserve">3. Multivariate Analysis &amp; Correlation</w:t>
      </w:r>
    </w:p>
    <w:p>
      <w:pPr>
        <w:spacing w:after="160"/>
      </w:pPr>
      <w:r>
        <w:rPr>
          <w:sz w:val="22"/>
          <w:szCs w:val="22"/>
        </w:rPr>
        <w:t xml:space="preserve">This section explores relationships between two or more variables to identify what actually drives revenue, rather than looking at each field in isolation.</w:t>
      </w:r>
    </w:p>
    <w:p>
      <w:pPr>
        <w:pStyle w:val="Heading2"/>
        <w:spacing w:after="120" w:before="240"/>
      </w:pPr>
      <w:r>
        <w:t xml:space="preserve">3.1 Revenue Trend Over Time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7. Monthly revenue trend, Jan 2025 - Jan 2026 (Jan 2026 is a partial month, 5 orders only).</w:t>
      </w:r>
    </w:p>
    <w:p>
      <w:pPr>
        <w:spacing w:after="160"/>
      </w:pPr>
      <w:r>
        <w:rPr>
          <w:sz w:val="22"/>
          <w:szCs w:val="22"/>
        </w:rPr>
        <w:t xml:space="preserve">Revenue does not show a strong seasonal or growth trend — it oscillates between roughly ₹9.2M and ₹13.1M per month with no clear upward or downward trajectory. October 2025 (+36.2% MoM) was the sharpest rebound, following the weakest month, September 2025 (-2.8% MoM, the second month of decline after August's -19.6%). This volatility, more than any trend, is the headline finding — it suggests revenue is currently driven by order-mix variance rather than a structural growth or decline pattern.</w:t>
      </w:r>
    </w:p>
    <w:p>
      <w:pPr>
        <w:pStyle w:val="Heading2"/>
        <w:spacing w:after="120" w:before="240"/>
      </w:pPr>
      <w:r>
        <w:t xml:space="preserve">3.2 Age vs. Order Value, by Category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8. Order value vs. customer age, colored by product category.</w:t>
      </w:r>
    </w:p>
    <w:p>
      <w:pPr>
        <w:spacing w:after="160"/>
      </w:pPr>
      <w:r>
        <w:rPr>
          <w:sz w:val="22"/>
          <w:szCs w:val="22"/>
        </w:rPr>
        <w:t xml:space="preserve">The scatter shows no visible relationship between customer age and order value — high and low-value orders occur across every age band, for every category. This is confirmed numerically in the correlation matrix below (r = 0.00 between Age and Total_Sales). Practically, this means age-based targeting is not a useful lever for predicting order size in this dataset, though it may still matter for category preference.</w:t>
      </w:r>
    </w:p>
    <w:p>
      <w:pPr>
        <w:pStyle w:val="Heading2"/>
        <w:spacing w:after="120" w:before="240"/>
      </w:pPr>
      <w:r>
        <w:t xml:space="preserve">3.3 Correlation Between Numeric Fields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9. Correlation heatmap — Age, Quantity, Unit Price, Total Sales.</w:t>
      </w:r>
    </w:p>
    <w:p>
      <w:pPr>
        <w:spacing w:after="160"/>
      </w:pPr>
      <w:r>
        <w:rPr>
          <w:sz w:val="22"/>
          <w:szCs w:val="22"/>
        </w:rPr>
        <w:t xml:space="preserve">Total_Sales correlates moderately with Unit_Price (r = 0.69) and with Quantity (r = 0.65) — both roughly equal contributors, confirming Total_Sales is a genuine product of the two (by construction) rather than being dominated by one factor. Quantity and Unit_Price themselves are not correlated with each other (r = 0.02), meaning higher-priced items are not systematically bought in smaller or larger quantities. Age is essentially uncorrelated with every numeric field.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10. Pairwise relationships between Quantity, Unit Price, and Total Sales.</w:t>
      </w:r>
    </w:p>
    <w:p>
      <w:pPr>
        <w:pStyle w:val="Heading2"/>
        <w:spacing w:after="120" w:before="240"/>
      </w:pPr>
      <w:r>
        <w:t xml:space="preserve">3.4 Category Performance by Gender and Age Group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11. Average order value by category and gender.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12. Total revenue by age group and category (₹, millions).</w:t>
      </w:r>
    </w:p>
    <w:p>
      <w:pPr>
        <w:spacing w:after="160"/>
      </w:pPr>
      <w:r>
        <w:rPr>
          <w:sz w:val="22"/>
          <w:szCs w:val="22"/>
        </w:rPr>
        <w:t xml:space="preserve">Electronics dominates revenue in every single age group — it is the top-earning category for all five age bands, not just on average. The 26-35 and 36-45 age groups are the two largest revenue contributors overall, consistent with them also being the two largest customer segments by order count.</w:t>
      </w:r>
    </w:p>
    <w:p>
      <w:pPr>
        <w:pStyle w:val="Heading1"/>
        <w:spacing w:after="160" w:before="320"/>
      </w:pPr>
      <w:r>
        <w:t xml:space="preserve">4. SQL-Derived Business Insights</w:t>
      </w:r>
    </w:p>
    <w:p>
      <w:pPr>
        <w:spacing w:after="160"/>
      </w:pPr>
      <w:r>
        <w:rPr>
          <w:sz w:val="22"/>
          <w:szCs w:val="22"/>
        </w:rPr>
        <w:t xml:space="preserve">Seven business questions were answered using SQL against a normalized two-table schema (orders fact table + customers dimension table) in SQLite. Full queries and result sets are provided separately in business_questions_sql.sql and SQL_Query_Results.xlsx. Headline findings: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Top 5 products by revenue (last 6 months, Jul 2025-Jan 2026): Laptop (₹1.30 crore) leads narrowly over Book, Chair, Shoes and Rice — the gap between #1 and #5 is under 22%, meaning revenue is well diversified across products, not concentrated in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Kolkata is the top city by revenue (₹1.99 crore), but only marginally ahead of Bengaluru and Patna — no single city drives the business.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Electronics is the top revenue category for every customer age group (18-25 through 56-65) — it is a universal best-seller, not a niche driven by one demographic.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Male customers generate 52.4% of revenue vs. 47.6% for Female — a real but modest gap.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Wednesday has the highest average order value (₹147,599), narrowly ahead of Tuesday; Sunday has both the lowest average order value and the most orders — suggesting Sunday brings more, smaller purchases.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Month-over-month revenue growth is highly volatile: from +36.2% (Oct 2025) to -19.6% (Aug 2025) — there is no steady growth trend to report on this data.</w:t>
      </w:r>
    </w:p>
    <w:p>
      <w:pPr>
        <w:pStyle w:val="Heading1"/>
        <w:spacing w:after="160" w:before="320"/>
      </w:pPr>
      <w:r>
        <w:t xml:space="preserve">5.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Investigate the Aug-Sep 2025 revenue dip and the Oct 2025 rebound with the business team — was it a promotion, stockout, or seasonal event? This is the single most actionable pattern in the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Since Electronics outperforms in every age group, prioritize Electronics inventory and marketing spend broadly rather than targeting a specific age segment.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Resolve the 13 orders with 'Unknown' city at the source system level — even though small, they are the only true blind spot in geographic reporting.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 median (not mean) order value when reporting a 'typical' order, given the right-skewed distribution driven by high-value outlier orders.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Track order value by weekday going forward — the Wednesday-high / Sunday-low pattern could inform staffing or promotional timing, but one year of data is not enough to confirm it is not noise.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ApexPlanet EDA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F5597" w:sz="6" w:space="4"/>
      </w:pBdr>
      <w:spacing w:after="160" w:before="320"/>
    </w:pPr>
    <w:rPr>
      <w:rFonts w:ascii="Calibri" w:cs="Calibri" w:eastAsia="Calibri" w:hAnsi="Calibri"/>
      <w:b/>
      <w:bCs/>
      <w:color w:val="2F5597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96e4b31717b81e36b704fa574a7993cec3cb89d.png"/><Relationship Id="rId10" Type="http://schemas.openxmlformats.org/officeDocument/2006/relationships/image" Target="media/11aec6088947ea879c097a8f6e0966b1a53f669c.png"/><Relationship Id="rId11" Type="http://schemas.openxmlformats.org/officeDocument/2006/relationships/image" Target="media/360642d7798bd2989a29f7f04f0ecff278480536.png"/><Relationship Id="rId12" Type="http://schemas.openxmlformats.org/officeDocument/2006/relationships/image" Target="media/e2d5713ec73e6c58357a6f071c71d0ce07a5ede9.png"/><Relationship Id="rId13" Type="http://schemas.openxmlformats.org/officeDocument/2006/relationships/image" Target="media/6bc1a53189a029e165cf634b42fe46628c6132c9.png"/><Relationship Id="rId14" Type="http://schemas.openxmlformats.org/officeDocument/2006/relationships/image" Target="media/f0cec8e7a5f37b2e1cf1c35846730fb95931ab42.png"/><Relationship Id="rId15" Type="http://schemas.openxmlformats.org/officeDocument/2006/relationships/image" Target="media/501c9a938c0c7c9098e6fc789b91c9167c1dbdeb.png"/><Relationship Id="rId16" Type="http://schemas.openxmlformats.org/officeDocument/2006/relationships/image" Target="media/5b7fb6116e6c66b774ca4f5fd2a1ad2ee6369318.png"/><Relationship Id="rId17" Type="http://schemas.openxmlformats.org/officeDocument/2006/relationships/image" Target="media/6be16c4690a4d8607a4853e9412cadb178597b8f.png"/><Relationship Id="rId18" Type="http://schemas.openxmlformats.org/officeDocument/2006/relationships/image" Target="media/9b39074bb51ce4d244dc45e2dbf5ec57810fa9a0.png"/><Relationship Id="rId19" Type="http://schemas.openxmlformats.org/officeDocument/2006/relationships/image" Target="media/62e827ba5d86f25cf556e066a2fef2e79d8448ee.png"/><Relationship Id="rId20" Type="http://schemas.openxmlformats.org/officeDocument/2006/relationships/image" Target="media/500c294209abdc242456146e6e1b7631c4544d26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2026-07-17T05:50:06.270Z</dcterms:created>
  <dcterms:modified xsi:type="dcterms:W3CDTF">2026-07-17T05:50:06.281Z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