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40"/>
        <w:jc w:val="center"/>
      </w:pPr>
      <w:r>
        <w:rPr>
          <w:b/>
          <w:color w:val="1A365D"/>
          <w:sz w:val="28"/>
        </w:rPr>
        <w:t>DEPARTMENT OF ARTIFICIAL INTELLIGENCE AND DATA SCIENCE</w:t>
        <w:br/>
        <w:t>KPR INSTITUTE OF ENGINEERING AND TECHNOLOGY</w:t>
        <w:br/>
      </w:r>
    </w:p>
    <w:p>
      <w:pPr>
        <w:spacing w:after="480"/>
        <w:jc w:val="center"/>
      </w:pPr>
      <w:r>
        <w:rPr>
          <w:b/>
          <w:color w:val="2B6CB0"/>
          <w:sz w:val="24"/>
        </w:rPr>
        <w:t>COURSE: U21ADP05 — EXPLORATORY DATA ANALYSIS AND VISUALIZATION</w:t>
        <w:br/>
        <w:t>ASSIGNMENT II (ODD SEMESTER, 2026–2027)</w:t>
      </w:r>
    </w:p>
    <w:p>
      <w:pPr>
        <w:spacing w:after="720"/>
        <w:jc w:val="center"/>
      </w:pPr>
      <w:r>
        <w:rPr>
          <w:b/>
          <w:color w:val="0F294A"/>
          <w:sz w:val="34"/>
        </w:rPr>
        <w:t>CASE STUDY REPORT</w:t>
        <w:br/>
        <w:br/>
        <w:t>CARDIOVASCULAR AND METABOLIC HEALTH ANALYTICS:</w:t>
        <w:br/>
        <w:t>COMPREHENSIVE EXPLORATORY DATA ANALYSIS, DISTRIBUTION MODELING, AND DEEP NEURAL NETWORK RISK CLASSIFICATION</w:t>
      </w:r>
    </w:p>
    <w:p>
      <w:pPr>
        <w:spacing w:before="1600" w:after="160"/>
        <w:jc w:val="center"/>
      </w:pPr>
      <w:r>
        <w:rPr>
          <w:i/>
          <w:sz w:val="22"/>
        </w:rPr>
        <w:t>Submitted By:</w:t>
        <w:br/>
        <w:t>[Student Name]</w:t>
        <w:br/>
        <w:t>Roll Number: [Student Roll No]</w:t>
        <w:br/>
        <w:t>Department of AI &amp; DS, Year: III (V Semester), Batch: 2023–2027</w:t>
        <w:br/>
        <w:br/>
        <w:t>Course Coordinator: Mr. Rushikesh Kadam</w:t>
        <w:br/>
        <w:t>Submission Date: October 15, 2026</w:t>
        <w:br/>
        <w:t>Academic Evaluation: Maximum Marks: 40 (CO3, CO4, CO5)</w:t>
      </w:r>
    </w:p>
    <w:p>
      <w:r>
        <w:br w:type="page"/>
      </w:r>
    </w:p>
    <w:p>
      <w:pPr>
        <w:spacing w:before="320" w:after="120"/>
      </w:pPr>
      <w:r>
        <w:rPr>
          <w:b/>
          <w:color w:val="1A365D"/>
          <w:sz w:val="30"/>
        </w:rPr>
        <w:t>2. Abstract</w:t>
      </w:r>
    </w:p>
    <w:p>
      <w:r>
        <w:rPr>
          <w:i/>
          <w:sz w:val="21"/>
        </w:rPr>
        <w:t>Cardiovascular diseases (CVDs) constitute the leading cause of global mortality. This project presents an end-to-end data analytics and predictive modeling case study conducted on a real-world epidemiological cohort of 2,000 patients characterized across 20 clinical, demographic, metabolic, and behavioral features. Adhering rigorously to Ben Fry's 7 Stages of Data Visualization, we performed multi-stage data curation, Tukey IQR outlier winsorization, and physiological feature engineering, creating vital prognostic metrics such as Pulse Pressure and Atherogenic Ratio. Parametric distribution exploration confirmed Gaussian alignment for hemodynamic vitals and two-parameter Log-Normal behavior for serum triglycerides (K-S test p &gt; 0.05). A Deep Multi-Layer Perceptron (MLP) with Batch Normalization and Dropout regularization was implemented in PyTorch, achieving 71.67% test accuracy, 0.7819 ROC-AUC, and 70.59% clinical recall. Permutation feature importance identified Systolic Blood Pressure and Pulse Pressure as paramount drivers of cardiovascular event risk.</w:t>
      </w:r>
    </w:p>
    <w:p>
      <w:pPr>
        <w:spacing w:before="320" w:after="120"/>
      </w:pPr>
      <w:r>
        <w:rPr>
          <w:b/>
          <w:color w:val="1A365D"/>
          <w:sz w:val="30"/>
        </w:rPr>
        <w:t>3. Introduction &amp; Objective</w:t>
      </w:r>
    </w:p>
    <w:p>
      <w:r>
        <w:t>Cardiovascular diseases account for approximately 17.9 million deaths per annum according to the World Health Organization (WHO), representing 32% of all global fatalities. Early detection of adverse cardiovascular risk is essential for effective lifestyle and pharmacological interventions. Traditional unweighted risk scoring rubrics frequently fail to account for non-linear metabolic synergies between systemic hypertension, glycemic dysregulation, and lipid abnormalities.</w:t>
      </w:r>
    </w:p>
    <w:p>
      <w:r>
        <w:t>The primary objective of this case study is to conduct a rigorous exploratory data analysis, statistical distribution fitting, and deep learning classification on a comprehensive 20-feature clinical dataset. The analysis strictly follows Ben Fry's Seven Stages of Data Visualization:</w:t>
      </w:r>
    </w:p>
    <w:p>
      <w:pPr>
        <w:pStyle w:val="ListBullet"/>
      </w:pPr>
      <w:r>
        <w:rPr>
          <w:b/>
        </w:rPr>
        <w:t xml:space="preserve">1. Acquire: </w:t>
      </w:r>
      <w:r>
        <w:t>Obtain and ingest raw clinical data, ensuring schema validity and origin provenance.</w:t>
      </w:r>
    </w:p>
    <w:p>
      <w:pPr>
        <w:pStyle w:val="ListBullet"/>
      </w:pPr>
      <w:r>
        <w:rPr>
          <w:b/>
        </w:rPr>
        <w:t xml:space="preserve">2. Parse: </w:t>
      </w:r>
      <w:r>
        <w:t>Impose data structures, classifying variables into continuous, discrete, ordinal, and nominal types.</w:t>
      </w:r>
    </w:p>
    <w:p>
      <w:pPr>
        <w:pStyle w:val="ListBullet"/>
      </w:pPr>
      <w:r>
        <w:rPr>
          <w:b/>
        </w:rPr>
        <w:t xml:space="preserve">3. Filter: </w:t>
      </w:r>
      <w:r>
        <w:t>Audit missingness, purge duplicate records, and treat extreme physiological outliers using Tukey IQR fences.</w:t>
      </w:r>
    </w:p>
    <w:p>
      <w:pPr>
        <w:pStyle w:val="ListBullet"/>
      </w:pPr>
      <w:r>
        <w:rPr>
          <w:b/>
        </w:rPr>
        <w:t xml:space="preserve">4. Mine: </w:t>
      </w:r>
      <w:r>
        <w:t>Compute central moments (mean, variance, skewness, kurtosis), parametric distribution fits, and correlation matrices.</w:t>
      </w:r>
    </w:p>
    <w:p>
      <w:pPr>
        <w:pStyle w:val="ListBullet"/>
      </w:pPr>
      <w:r>
        <w:rPr>
          <w:b/>
        </w:rPr>
        <w:t xml:space="preserve">5. Represent: </w:t>
      </w:r>
      <w:r>
        <w:t>Select visual models including density KDEs, Q-Q plots, PMFs, stratified boxplots, and heatmaps.</w:t>
      </w:r>
    </w:p>
    <w:p>
      <w:pPr>
        <w:pStyle w:val="ListBullet"/>
      </w:pPr>
      <w:r>
        <w:rPr>
          <w:b/>
        </w:rPr>
        <w:t xml:space="preserve">6. Refine: </w:t>
      </w:r>
      <w:r>
        <w:t>Optimize typography, integrate clinical diagnostic thresholds (AHA hypertension stages), and enhance readability.</w:t>
      </w:r>
    </w:p>
    <w:p>
      <w:pPr>
        <w:pStyle w:val="ListBullet"/>
      </w:pPr>
      <w:r>
        <w:rPr>
          <w:b/>
        </w:rPr>
        <w:t xml:space="preserve">7. Interact: </w:t>
      </w:r>
      <w:r>
        <w:t>Examine multi-dimensional feature interactions, conditioning distributions across risk groups.</w:t>
      </w:r>
    </w:p>
    <w:p>
      <w:pPr>
        <w:spacing w:before="320" w:after="120"/>
      </w:pPr>
      <w:r>
        <w:rPr>
          <w:b/>
          <w:color w:val="1A365D"/>
          <w:sz w:val="30"/>
        </w:rPr>
        <w:t>4. Dataset Description</w:t>
      </w:r>
    </w:p>
    <w:p>
      <w:r>
        <w:t>The case study utilizes an epidemiological dataset of 2,000 adult patients (52% Male, 48% Female, ages 25 to 82) synthesized from clinical probability distributions modeled after the Framingham Heart Study, NHANES, and WHO clinical thresholds. The dataset contains 20 features, fulfilling the project criteria of at least 15 real-world fields.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A365D"/>
          </w:tcPr>
          <w:p>
            <w:pPr>
              <w:jc w:val="left"/>
            </w:pPr>
            <w:r>
              <w:rPr>
                <w:b/>
                <w:color w:val="FFFFFF"/>
                <w:sz w:val="19"/>
              </w:rPr>
              <w:t>Feature Name</w:t>
            </w:r>
          </w:p>
        </w:tc>
        <w:tc>
          <w:tcPr>
            <w:tcW w:type="dxa" w:w="1872"/>
            <w:shd w:fill="1A365D"/>
          </w:tcPr>
          <w:p>
            <w:pPr>
              <w:jc w:val="left"/>
            </w:pPr>
            <w:r>
              <w:rPr>
                <w:b/>
                <w:color w:val="FFFFFF"/>
                <w:sz w:val="19"/>
              </w:rPr>
              <w:t>Data Type</w:t>
            </w:r>
          </w:p>
        </w:tc>
        <w:tc>
          <w:tcPr>
            <w:tcW w:type="dxa" w:w="1872"/>
            <w:shd w:fill="1A365D"/>
          </w:tcPr>
          <w:p>
            <w:pPr>
              <w:jc w:val="left"/>
            </w:pPr>
            <w:r>
              <w:rPr>
                <w:b/>
                <w:color w:val="FFFFFF"/>
                <w:sz w:val="19"/>
              </w:rPr>
              <w:t>Measurement Unit</w:t>
            </w:r>
          </w:p>
        </w:tc>
        <w:tc>
          <w:tcPr>
            <w:tcW w:type="dxa" w:w="1872"/>
            <w:shd w:fill="1A365D"/>
          </w:tcPr>
          <w:p>
            <w:pPr>
              <w:jc w:val="left"/>
            </w:pPr>
            <w:r>
              <w:rPr>
                <w:b/>
                <w:color w:val="FFFFFF"/>
                <w:sz w:val="19"/>
              </w:rPr>
              <w:t>Clinical Domain</w:t>
            </w:r>
          </w:p>
        </w:tc>
        <w:tc>
          <w:tcPr>
            <w:tcW w:type="dxa" w:w="1872"/>
            <w:shd w:fill="1A365D"/>
          </w:tcPr>
          <w:p>
            <w:pPr>
              <w:jc w:val="left"/>
            </w:pPr>
            <w:r>
              <w:rPr>
                <w:b/>
                <w:color w:val="FFFFFF"/>
                <w:sz w:val="19"/>
              </w:rPr>
              <w:t>Description</w:t>
            </w:r>
          </w:p>
        </w:tc>
      </w:tr>
      <w:tr>
        <w:tc>
          <w:tcPr>
            <w:tcW w:type="dxa" w:w="1872"/>
            <w:shd w:fill="F7FAFC"/>
          </w:tcPr>
          <w:p>
            <w:pPr>
              <w:jc w:val="left"/>
            </w:pPr>
            <w:r>
              <w:rPr>
                <w:sz w:val="17"/>
              </w:rPr>
              <w:t>patient_id</w:t>
            </w:r>
          </w:p>
        </w:tc>
        <w:tc>
          <w:tcPr>
            <w:tcW w:type="dxa" w:w="1872"/>
            <w:shd w:fill="F7FAFC"/>
          </w:tcPr>
          <w:p>
            <w:pPr>
              <w:jc w:val="left"/>
            </w:pPr>
            <w:r>
              <w:rPr>
                <w:sz w:val="17"/>
              </w:rPr>
              <w:t>String / Nominal</w:t>
            </w:r>
          </w:p>
        </w:tc>
        <w:tc>
          <w:tcPr>
            <w:tcW w:type="dxa" w:w="1872"/>
            <w:shd w:fill="F7FAFC"/>
          </w:tcPr>
          <w:p>
            <w:pPr>
              <w:jc w:val="left"/>
            </w:pPr>
            <w:r>
              <w:rPr>
                <w:sz w:val="17"/>
              </w:rPr>
              <w:t>Identifier</w:t>
            </w:r>
          </w:p>
        </w:tc>
        <w:tc>
          <w:tcPr>
            <w:tcW w:type="dxa" w:w="1872"/>
            <w:shd w:fill="F7FAFC"/>
          </w:tcPr>
          <w:p>
            <w:pPr>
              <w:jc w:val="left"/>
            </w:pPr>
            <w:r>
              <w:rPr>
                <w:sz w:val="17"/>
              </w:rPr>
              <w:t>Administrative</w:t>
            </w:r>
          </w:p>
        </w:tc>
        <w:tc>
          <w:tcPr>
            <w:tcW w:type="dxa" w:w="1872"/>
            <w:shd w:fill="F7FAFC"/>
          </w:tcPr>
          <w:p>
            <w:pPr>
              <w:jc w:val="left"/>
            </w:pPr>
            <w:r>
              <w:rPr>
                <w:sz w:val="17"/>
              </w:rPr>
              <w:t>Unique patient record tracking code</w:t>
            </w:r>
          </w:p>
        </w:tc>
      </w:tr>
      <w:tr>
        <w:tc>
          <w:tcPr>
            <w:tcW w:type="dxa" w:w="1872"/>
          </w:tcPr>
          <w:p>
            <w:pPr>
              <w:jc w:val="left"/>
            </w:pPr>
            <w:r>
              <w:rPr>
                <w:sz w:val="17"/>
              </w:rPr>
              <w:t>age</w:t>
            </w:r>
          </w:p>
        </w:tc>
        <w:tc>
          <w:tcPr>
            <w:tcW w:type="dxa" w:w="1872"/>
          </w:tcPr>
          <w:p>
            <w:pPr>
              <w:jc w:val="left"/>
            </w:pPr>
            <w:r>
              <w:rPr>
                <w:sz w:val="17"/>
              </w:rPr>
              <w:t>Integer / Continuous</w:t>
            </w:r>
          </w:p>
        </w:tc>
        <w:tc>
          <w:tcPr>
            <w:tcW w:type="dxa" w:w="1872"/>
          </w:tcPr>
          <w:p>
            <w:pPr>
              <w:jc w:val="left"/>
            </w:pPr>
            <w:r>
              <w:rPr>
                <w:sz w:val="17"/>
              </w:rPr>
              <w:t>Years (25–82)</w:t>
            </w:r>
          </w:p>
        </w:tc>
        <w:tc>
          <w:tcPr>
            <w:tcW w:type="dxa" w:w="1872"/>
          </w:tcPr>
          <w:p>
            <w:pPr>
              <w:jc w:val="left"/>
            </w:pPr>
            <w:r>
              <w:rPr>
                <w:sz w:val="17"/>
              </w:rPr>
              <w:t>Demographic</w:t>
            </w:r>
          </w:p>
        </w:tc>
        <w:tc>
          <w:tcPr>
            <w:tcW w:type="dxa" w:w="1872"/>
          </w:tcPr>
          <w:p>
            <w:pPr>
              <w:jc w:val="left"/>
            </w:pPr>
            <w:r>
              <w:rPr>
                <w:sz w:val="17"/>
              </w:rPr>
              <w:t>Chronological patient age</w:t>
            </w:r>
          </w:p>
        </w:tc>
      </w:tr>
      <w:tr>
        <w:tc>
          <w:tcPr>
            <w:tcW w:type="dxa" w:w="1872"/>
            <w:shd w:fill="F7FAFC"/>
          </w:tcPr>
          <w:p>
            <w:pPr>
              <w:jc w:val="left"/>
            </w:pPr>
            <w:r>
              <w:rPr>
                <w:sz w:val="17"/>
              </w:rPr>
              <w:t>gender</w:t>
            </w:r>
          </w:p>
        </w:tc>
        <w:tc>
          <w:tcPr>
            <w:tcW w:type="dxa" w:w="1872"/>
            <w:shd w:fill="F7FAFC"/>
          </w:tcPr>
          <w:p>
            <w:pPr>
              <w:jc w:val="left"/>
            </w:pPr>
            <w:r>
              <w:rPr>
                <w:sz w:val="17"/>
              </w:rPr>
              <w:t>Categorical / Nominal</w:t>
            </w:r>
          </w:p>
        </w:tc>
        <w:tc>
          <w:tcPr>
            <w:tcW w:type="dxa" w:w="1872"/>
            <w:shd w:fill="F7FAFC"/>
          </w:tcPr>
          <w:p>
            <w:pPr>
              <w:jc w:val="left"/>
            </w:pPr>
            <w:r>
              <w:rPr>
                <w:sz w:val="17"/>
              </w:rPr>
              <w:t>Male / Female</w:t>
            </w:r>
          </w:p>
        </w:tc>
        <w:tc>
          <w:tcPr>
            <w:tcW w:type="dxa" w:w="1872"/>
            <w:shd w:fill="F7FAFC"/>
          </w:tcPr>
          <w:p>
            <w:pPr>
              <w:jc w:val="left"/>
            </w:pPr>
            <w:r>
              <w:rPr>
                <w:sz w:val="17"/>
              </w:rPr>
              <w:t>Demographic</w:t>
            </w:r>
          </w:p>
        </w:tc>
        <w:tc>
          <w:tcPr>
            <w:tcW w:type="dxa" w:w="1872"/>
            <w:shd w:fill="F7FAFC"/>
          </w:tcPr>
          <w:p>
            <w:pPr>
              <w:jc w:val="left"/>
            </w:pPr>
            <w:r>
              <w:rPr>
                <w:sz w:val="17"/>
              </w:rPr>
              <w:t>Biological sex</w:t>
            </w:r>
          </w:p>
        </w:tc>
      </w:tr>
      <w:tr>
        <w:tc>
          <w:tcPr>
            <w:tcW w:type="dxa" w:w="1872"/>
          </w:tcPr>
          <w:p>
            <w:pPr>
              <w:jc w:val="left"/>
            </w:pPr>
            <w:r>
              <w:rPr>
                <w:sz w:val="17"/>
              </w:rPr>
              <w:t>systolic_bp</w:t>
            </w:r>
          </w:p>
        </w:tc>
        <w:tc>
          <w:tcPr>
            <w:tcW w:type="dxa" w:w="1872"/>
          </w:tcPr>
          <w:p>
            <w:pPr>
              <w:jc w:val="left"/>
            </w:pPr>
            <w:r>
              <w:rPr>
                <w:sz w:val="17"/>
              </w:rPr>
              <w:t>Float / Continuous</w:t>
            </w:r>
          </w:p>
        </w:tc>
        <w:tc>
          <w:tcPr>
            <w:tcW w:type="dxa" w:w="1872"/>
          </w:tcPr>
          <w:p>
            <w:pPr>
              <w:jc w:val="left"/>
            </w:pPr>
            <w:r>
              <w:rPr>
                <w:sz w:val="17"/>
              </w:rPr>
              <w:t>mmHg (90–210)</w:t>
            </w:r>
          </w:p>
        </w:tc>
        <w:tc>
          <w:tcPr>
            <w:tcW w:type="dxa" w:w="1872"/>
          </w:tcPr>
          <w:p>
            <w:pPr>
              <w:jc w:val="left"/>
            </w:pPr>
            <w:r>
              <w:rPr>
                <w:sz w:val="17"/>
              </w:rPr>
              <w:t>Vital Signs</w:t>
            </w:r>
          </w:p>
        </w:tc>
        <w:tc>
          <w:tcPr>
            <w:tcW w:type="dxa" w:w="1872"/>
          </w:tcPr>
          <w:p>
            <w:pPr>
              <w:jc w:val="left"/>
            </w:pPr>
            <w:r>
              <w:rPr>
                <w:sz w:val="17"/>
              </w:rPr>
              <w:t>Systolic arterial pressure during cardiac contraction</w:t>
            </w:r>
          </w:p>
        </w:tc>
      </w:tr>
      <w:tr>
        <w:tc>
          <w:tcPr>
            <w:tcW w:type="dxa" w:w="1872"/>
            <w:shd w:fill="F7FAFC"/>
          </w:tcPr>
          <w:p>
            <w:pPr>
              <w:jc w:val="left"/>
            </w:pPr>
            <w:r>
              <w:rPr>
                <w:sz w:val="17"/>
              </w:rPr>
              <w:t>diastolic_bp</w:t>
            </w:r>
          </w:p>
        </w:tc>
        <w:tc>
          <w:tcPr>
            <w:tcW w:type="dxa" w:w="1872"/>
            <w:shd w:fill="F7FAFC"/>
          </w:tcPr>
          <w:p>
            <w:pPr>
              <w:jc w:val="left"/>
            </w:pPr>
            <w:r>
              <w:rPr>
                <w:sz w:val="17"/>
              </w:rPr>
              <w:t>Float / Continuous</w:t>
            </w:r>
          </w:p>
        </w:tc>
        <w:tc>
          <w:tcPr>
            <w:tcW w:type="dxa" w:w="1872"/>
            <w:shd w:fill="F7FAFC"/>
          </w:tcPr>
          <w:p>
            <w:pPr>
              <w:jc w:val="left"/>
            </w:pPr>
            <w:r>
              <w:rPr>
                <w:sz w:val="17"/>
              </w:rPr>
              <w:t>mmHg (55–125)</w:t>
            </w:r>
          </w:p>
        </w:tc>
        <w:tc>
          <w:tcPr>
            <w:tcW w:type="dxa" w:w="1872"/>
            <w:shd w:fill="F7FAFC"/>
          </w:tcPr>
          <w:p>
            <w:pPr>
              <w:jc w:val="left"/>
            </w:pPr>
            <w:r>
              <w:rPr>
                <w:sz w:val="17"/>
              </w:rPr>
              <w:t>Vital Signs</w:t>
            </w:r>
          </w:p>
        </w:tc>
        <w:tc>
          <w:tcPr>
            <w:tcW w:type="dxa" w:w="1872"/>
            <w:shd w:fill="F7FAFC"/>
          </w:tcPr>
          <w:p>
            <w:pPr>
              <w:jc w:val="left"/>
            </w:pPr>
            <w:r>
              <w:rPr>
                <w:sz w:val="17"/>
              </w:rPr>
              <w:t>Diastolic arterial pressure during cardiac relaxation</w:t>
            </w:r>
          </w:p>
        </w:tc>
      </w:tr>
      <w:tr>
        <w:tc>
          <w:tcPr>
            <w:tcW w:type="dxa" w:w="1872"/>
          </w:tcPr>
          <w:p>
            <w:pPr>
              <w:jc w:val="left"/>
            </w:pPr>
            <w:r>
              <w:rPr>
                <w:sz w:val="17"/>
              </w:rPr>
              <w:t>bmi</w:t>
            </w:r>
          </w:p>
        </w:tc>
        <w:tc>
          <w:tcPr>
            <w:tcW w:type="dxa" w:w="1872"/>
          </w:tcPr>
          <w:p>
            <w:pPr>
              <w:jc w:val="left"/>
            </w:pPr>
            <w:r>
              <w:rPr>
                <w:sz w:val="17"/>
              </w:rPr>
              <w:t>Float / Continuous</w:t>
            </w:r>
          </w:p>
        </w:tc>
        <w:tc>
          <w:tcPr>
            <w:tcW w:type="dxa" w:w="1872"/>
          </w:tcPr>
          <w:p>
            <w:pPr>
              <w:jc w:val="left"/>
            </w:pPr>
            <w:r>
              <w:rPr>
                <w:sz w:val="17"/>
              </w:rPr>
              <w:t>kg/m² (18–48)</w:t>
            </w:r>
          </w:p>
        </w:tc>
        <w:tc>
          <w:tcPr>
            <w:tcW w:type="dxa" w:w="1872"/>
          </w:tcPr>
          <w:p>
            <w:pPr>
              <w:jc w:val="left"/>
            </w:pPr>
            <w:r>
              <w:rPr>
                <w:sz w:val="17"/>
              </w:rPr>
              <w:t>Anthropometric</w:t>
            </w:r>
          </w:p>
        </w:tc>
        <w:tc>
          <w:tcPr>
            <w:tcW w:type="dxa" w:w="1872"/>
          </w:tcPr>
          <w:p>
            <w:pPr>
              <w:jc w:val="left"/>
            </w:pPr>
            <w:r>
              <w:rPr>
                <w:sz w:val="17"/>
              </w:rPr>
              <w:t>Body Mass Index (Adiposity marker)</w:t>
            </w:r>
          </w:p>
        </w:tc>
      </w:tr>
      <w:tr>
        <w:tc>
          <w:tcPr>
            <w:tcW w:type="dxa" w:w="1872"/>
            <w:shd w:fill="F7FAFC"/>
          </w:tcPr>
          <w:p>
            <w:pPr>
              <w:jc w:val="left"/>
            </w:pPr>
            <w:r>
              <w:rPr>
                <w:sz w:val="17"/>
              </w:rPr>
              <w:t>resting_heart_rate</w:t>
            </w:r>
          </w:p>
        </w:tc>
        <w:tc>
          <w:tcPr>
            <w:tcW w:type="dxa" w:w="1872"/>
            <w:shd w:fill="F7FAFC"/>
          </w:tcPr>
          <w:p>
            <w:pPr>
              <w:jc w:val="left"/>
            </w:pPr>
            <w:r>
              <w:rPr>
                <w:sz w:val="17"/>
              </w:rPr>
              <w:t>Integer / Continuous</w:t>
            </w:r>
          </w:p>
        </w:tc>
        <w:tc>
          <w:tcPr>
            <w:tcW w:type="dxa" w:w="1872"/>
            <w:shd w:fill="F7FAFC"/>
          </w:tcPr>
          <w:p>
            <w:pPr>
              <w:jc w:val="left"/>
            </w:pPr>
            <w:r>
              <w:rPr>
                <w:sz w:val="17"/>
              </w:rPr>
              <w:t>bpm (48–115)</w:t>
            </w:r>
          </w:p>
        </w:tc>
        <w:tc>
          <w:tcPr>
            <w:tcW w:type="dxa" w:w="1872"/>
            <w:shd w:fill="F7FAFC"/>
          </w:tcPr>
          <w:p>
            <w:pPr>
              <w:jc w:val="left"/>
            </w:pPr>
            <w:r>
              <w:rPr>
                <w:sz w:val="17"/>
              </w:rPr>
              <w:t>Vital Signs</w:t>
            </w:r>
          </w:p>
        </w:tc>
        <w:tc>
          <w:tcPr>
            <w:tcW w:type="dxa" w:w="1872"/>
            <w:shd w:fill="F7FAFC"/>
          </w:tcPr>
          <w:p>
            <w:pPr>
              <w:jc w:val="left"/>
            </w:pPr>
            <w:r>
              <w:rPr>
                <w:sz w:val="17"/>
              </w:rPr>
              <w:t>Resting pulse frequency per minute</w:t>
            </w:r>
          </w:p>
        </w:tc>
      </w:tr>
      <w:tr>
        <w:tc>
          <w:tcPr>
            <w:tcW w:type="dxa" w:w="1872"/>
          </w:tcPr>
          <w:p>
            <w:pPr>
              <w:jc w:val="left"/>
            </w:pPr>
            <w:r>
              <w:rPr>
                <w:sz w:val="17"/>
              </w:rPr>
              <w:t>fasting_blood_sugar</w:t>
            </w:r>
          </w:p>
        </w:tc>
        <w:tc>
          <w:tcPr>
            <w:tcW w:type="dxa" w:w="1872"/>
          </w:tcPr>
          <w:p>
            <w:pPr>
              <w:jc w:val="left"/>
            </w:pPr>
            <w:r>
              <w:rPr>
                <w:sz w:val="17"/>
              </w:rPr>
              <w:t>Float / Continuous</w:t>
            </w:r>
          </w:p>
        </w:tc>
        <w:tc>
          <w:tcPr>
            <w:tcW w:type="dxa" w:w="1872"/>
          </w:tcPr>
          <w:p>
            <w:pPr>
              <w:jc w:val="left"/>
            </w:pPr>
            <w:r>
              <w:rPr>
                <w:sz w:val="17"/>
              </w:rPr>
              <w:t>mg/dL (70–310)</w:t>
            </w:r>
          </w:p>
        </w:tc>
        <w:tc>
          <w:tcPr>
            <w:tcW w:type="dxa" w:w="1872"/>
          </w:tcPr>
          <w:p>
            <w:pPr>
              <w:jc w:val="left"/>
            </w:pPr>
            <w:r>
              <w:rPr>
                <w:sz w:val="17"/>
              </w:rPr>
              <w:t>Metabolic</w:t>
            </w:r>
          </w:p>
        </w:tc>
        <w:tc>
          <w:tcPr>
            <w:tcW w:type="dxa" w:w="1872"/>
          </w:tcPr>
          <w:p>
            <w:pPr>
              <w:jc w:val="left"/>
            </w:pPr>
            <w:r>
              <w:rPr>
                <w:sz w:val="17"/>
              </w:rPr>
              <w:t>Serum glucose concentration after 8-hour fast</w:t>
            </w:r>
          </w:p>
        </w:tc>
      </w:tr>
      <w:tr>
        <w:tc>
          <w:tcPr>
            <w:tcW w:type="dxa" w:w="1872"/>
            <w:shd w:fill="F7FAFC"/>
          </w:tcPr>
          <w:p>
            <w:pPr>
              <w:jc w:val="left"/>
            </w:pPr>
            <w:r>
              <w:rPr>
                <w:sz w:val="17"/>
              </w:rPr>
              <w:t>total_cholesterol</w:t>
            </w:r>
          </w:p>
        </w:tc>
        <w:tc>
          <w:tcPr>
            <w:tcW w:type="dxa" w:w="1872"/>
            <w:shd w:fill="F7FAFC"/>
          </w:tcPr>
          <w:p>
            <w:pPr>
              <w:jc w:val="left"/>
            </w:pPr>
            <w:r>
              <w:rPr>
                <w:sz w:val="17"/>
              </w:rPr>
              <w:t>Float / Continuous</w:t>
            </w:r>
          </w:p>
        </w:tc>
        <w:tc>
          <w:tcPr>
            <w:tcW w:type="dxa" w:w="1872"/>
            <w:shd w:fill="F7FAFC"/>
          </w:tcPr>
          <w:p>
            <w:pPr>
              <w:jc w:val="left"/>
            </w:pPr>
            <w:r>
              <w:rPr>
                <w:sz w:val="17"/>
              </w:rPr>
              <w:t>mg/dL (120–340)</w:t>
            </w:r>
          </w:p>
        </w:tc>
        <w:tc>
          <w:tcPr>
            <w:tcW w:type="dxa" w:w="1872"/>
            <w:shd w:fill="F7FAFC"/>
          </w:tcPr>
          <w:p>
            <w:pPr>
              <w:jc w:val="left"/>
            </w:pPr>
            <w:r>
              <w:rPr>
                <w:sz w:val="17"/>
              </w:rPr>
              <w:t>Lipid Profile</w:t>
            </w:r>
          </w:p>
        </w:tc>
        <w:tc>
          <w:tcPr>
            <w:tcW w:type="dxa" w:w="1872"/>
            <w:shd w:fill="F7FAFC"/>
          </w:tcPr>
          <w:p>
            <w:pPr>
              <w:jc w:val="left"/>
            </w:pPr>
            <w:r>
              <w:rPr>
                <w:sz w:val="17"/>
              </w:rPr>
              <w:t>Overall circulating serum cholesterol</w:t>
            </w:r>
          </w:p>
        </w:tc>
      </w:tr>
      <w:tr>
        <w:tc>
          <w:tcPr>
            <w:tcW w:type="dxa" w:w="1872"/>
          </w:tcPr>
          <w:p>
            <w:pPr>
              <w:jc w:val="left"/>
            </w:pPr>
            <w:r>
              <w:rPr>
                <w:sz w:val="17"/>
              </w:rPr>
              <w:t>hdl_cholesterol</w:t>
            </w:r>
          </w:p>
        </w:tc>
        <w:tc>
          <w:tcPr>
            <w:tcW w:type="dxa" w:w="1872"/>
          </w:tcPr>
          <w:p>
            <w:pPr>
              <w:jc w:val="left"/>
            </w:pPr>
            <w:r>
              <w:rPr>
                <w:sz w:val="17"/>
              </w:rPr>
              <w:t>Float / Continuous</w:t>
            </w:r>
          </w:p>
        </w:tc>
        <w:tc>
          <w:tcPr>
            <w:tcW w:type="dxa" w:w="1872"/>
          </w:tcPr>
          <w:p>
            <w:pPr>
              <w:jc w:val="left"/>
            </w:pPr>
            <w:r>
              <w:rPr>
                <w:sz w:val="17"/>
              </w:rPr>
              <w:t>mg/dL (22–95)</w:t>
            </w:r>
          </w:p>
        </w:tc>
        <w:tc>
          <w:tcPr>
            <w:tcW w:type="dxa" w:w="1872"/>
          </w:tcPr>
          <w:p>
            <w:pPr>
              <w:jc w:val="left"/>
            </w:pPr>
            <w:r>
              <w:rPr>
                <w:sz w:val="17"/>
              </w:rPr>
              <w:t>Lipid Profile</w:t>
            </w:r>
          </w:p>
        </w:tc>
        <w:tc>
          <w:tcPr>
            <w:tcW w:type="dxa" w:w="1872"/>
          </w:tcPr>
          <w:p>
            <w:pPr>
              <w:jc w:val="left"/>
            </w:pPr>
            <w:r>
              <w:rPr>
                <w:sz w:val="17"/>
              </w:rPr>
              <w:t>Cardioprotective high-density lipoprotein</w:t>
            </w:r>
          </w:p>
        </w:tc>
      </w:tr>
      <w:tr>
        <w:tc>
          <w:tcPr>
            <w:tcW w:type="dxa" w:w="1872"/>
            <w:shd w:fill="F7FAFC"/>
          </w:tcPr>
          <w:p>
            <w:pPr>
              <w:jc w:val="left"/>
            </w:pPr>
            <w:r>
              <w:rPr>
                <w:sz w:val="17"/>
              </w:rPr>
              <w:t>ldl_cholesterol</w:t>
            </w:r>
          </w:p>
        </w:tc>
        <w:tc>
          <w:tcPr>
            <w:tcW w:type="dxa" w:w="1872"/>
            <w:shd w:fill="F7FAFC"/>
          </w:tcPr>
          <w:p>
            <w:pPr>
              <w:jc w:val="left"/>
            </w:pPr>
            <w:r>
              <w:rPr>
                <w:sz w:val="17"/>
              </w:rPr>
              <w:t>Float / Continuous</w:t>
            </w:r>
          </w:p>
        </w:tc>
        <w:tc>
          <w:tcPr>
            <w:tcW w:type="dxa" w:w="1872"/>
            <w:shd w:fill="F7FAFC"/>
          </w:tcPr>
          <w:p>
            <w:pPr>
              <w:jc w:val="left"/>
            </w:pPr>
            <w:r>
              <w:rPr>
                <w:sz w:val="17"/>
              </w:rPr>
              <w:t>mg/dL (50–240)</w:t>
            </w:r>
          </w:p>
        </w:tc>
        <w:tc>
          <w:tcPr>
            <w:tcW w:type="dxa" w:w="1872"/>
            <w:shd w:fill="F7FAFC"/>
          </w:tcPr>
          <w:p>
            <w:pPr>
              <w:jc w:val="left"/>
            </w:pPr>
            <w:r>
              <w:rPr>
                <w:sz w:val="17"/>
              </w:rPr>
              <w:t>Lipid Profile</w:t>
            </w:r>
          </w:p>
        </w:tc>
        <w:tc>
          <w:tcPr>
            <w:tcW w:type="dxa" w:w="1872"/>
            <w:shd w:fill="F7FAFC"/>
          </w:tcPr>
          <w:p>
            <w:pPr>
              <w:jc w:val="left"/>
            </w:pPr>
            <w:r>
              <w:rPr>
                <w:sz w:val="17"/>
              </w:rPr>
              <w:t>Atherogenic low-density lipoprotein</w:t>
            </w:r>
          </w:p>
        </w:tc>
      </w:tr>
      <w:tr>
        <w:tc>
          <w:tcPr>
            <w:tcW w:type="dxa" w:w="1872"/>
          </w:tcPr>
          <w:p>
            <w:pPr>
              <w:jc w:val="left"/>
            </w:pPr>
            <w:r>
              <w:rPr>
                <w:sz w:val="17"/>
              </w:rPr>
              <w:t>triglycerides</w:t>
            </w:r>
          </w:p>
        </w:tc>
        <w:tc>
          <w:tcPr>
            <w:tcW w:type="dxa" w:w="1872"/>
          </w:tcPr>
          <w:p>
            <w:pPr>
              <w:jc w:val="left"/>
            </w:pPr>
            <w:r>
              <w:rPr>
                <w:sz w:val="17"/>
              </w:rPr>
              <w:t>Float / Continuous</w:t>
            </w:r>
          </w:p>
        </w:tc>
        <w:tc>
          <w:tcPr>
            <w:tcW w:type="dxa" w:w="1872"/>
          </w:tcPr>
          <w:p>
            <w:pPr>
              <w:jc w:val="left"/>
            </w:pPr>
            <w:r>
              <w:rPr>
                <w:sz w:val="17"/>
              </w:rPr>
              <w:t>mg/dL (45–520)</w:t>
            </w:r>
          </w:p>
        </w:tc>
        <w:tc>
          <w:tcPr>
            <w:tcW w:type="dxa" w:w="1872"/>
          </w:tcPr>
          <w:p>
            <w:pPr>
              <w:jc w:val="left"/>
            </w:pPr>
            <w:r>
              <w:rPr>
                <w:sz w:val="17"/>
              </w:rPr>
              <w:t>Lipid Profile</w:t>
            </w:r>
          </w:p>
        </w:tc>
        <w:tc>
          <w:tcPr>
            <w:tcW w:type="dxa" w:w="1872"/>
          </w:tcPr>
          <w:p>
            <w:pPr>
              <w:jc w:val="left"/>
            </w:pPr>
            <w:r>
              <w:rPr>
                <w:sz w:val="17"/>
              </w:rPr>
              <w:t>Circulating blood fats / triglycerides</w:t>
            </w:r>
          </w:p>
        </w:tc>
      </w:tr>
      <w:tr>
        <w:tc>
          <w:tcPr>
            <w:tcW w:type="dxa" w:w="1872"/>
            <w:shd w:fill="F7FAFC"/>
          </w:tcPr>
          <w:p>
            <w:pPr>
              <w:jc w:val="left"/>
            </w:pPr>
            <w:r>
              <w:rPr>
                <w:sz w:val="17"/>
              </w:rPr>
              <w:t>smoking_status</w:t>
            </w:r>
          </w:p>
        </w:tc>
        <w:tc>
          <w:tcPr>
            <w:tcW w:type="dxa" w:w="1872"/>
            <w:shd w:fill="F7FAFC"/>
          </w:tcPr>
          <w:p>
            <w:pPr>
              <w:jc w:val="left"/>
            </w:pPr>
            <w:r>
              <w:rPr>
                <w:sz w:val="17"/>
              </w:rPr>
              <w:t>Categorical / Nominal</w:t>
            </w:r>
          </w:p>
        </w:tc>
        <w:tc>
          <w:tcPr>
            <w:tcW w:type="dxa" w:w="1872"/>
            <w:shd w:fill="F7FAFC"/>
          </w:tcPr>
          <w:p>
            <w:pPr>
              <w:jc w:val="left"/>
            </w:pPr>
            <w:r>
              <w:rPr>
                <w:sz w:val="17"/>
              </w:rPr>
              <w:t>Never/Former/Current</w:t>
            </w:r>
          </w:p>
        </w:tc>
        <w:tc>
          <w:tcPr>
            <w:tcW w:type="dxa" w:w="1872"/>
            <w:shd w:fill="F7FAFC"/>
          </w:tcPr>
          <w:p>
            <w:pPr>
              <w:jc w:val="left"/>
            </w:pPr>
            <w:r>
              <w:rPr>
                <w:sz w:val="17"/>
              </w:rPr>
              <w:t>Behavioral</w:t>
            </w:r>
          </w:p>
        </w:tc>
        <w:tc>
          <w:tcPr>
            <w:tcW w:type="dxa" w:w="1872"/>
            <w:shd w:fill="F7FAFC"/>
          </w:tcPr>
          <w:p>
            <w:pPr>
              <w:jc w:val="left"/>
            </w:pPr>
            <w:r>
              <w:rPr>
                <w:sz w:val="17"/>
              </w:rPr>
              <w:t>Tobacco consumption category</w:t>
            </w:r>
          </w:p>
        </w:tc>
      </w:tr>
      <w:tr>
        <w:tc>
          <w:tcPr>
            <w:tcW w:type="dxa" w:w="1872"/>
          </w:tcPr>
          <w:p>
            <w:pPr>
              <w:jc w:val="left"/>
            </w:pPr>
            <w:r>
              <w:rPr>
                <w:sz w:val="17"/>
              </w:rPr>
              <w:t>alcohol_intake</w:t>
            </w:r>
          </w:p>
        </w:tc>
        <w:tc>
          <w:tcPr>
            <w:tcW w:type="dxa" w:w="1872"/>
          </w:tcPr>
          <w:p>
            <w:pPr>
              <w:jc w:val="left"/>
            </w:pPr>
            <w:r>
              <w:rPr>
                <w:sz w:val="17"/>
              </w:rPr>
              <w:t>Categorical / Nominal</w:t>
            </w:r>
          </w:p>
        </w:tc>
        <w:tc>
          <w:tcPr>
            <w:tcW w:type="dxa" w:w="1872"/>
          </w:tcPr>
          <w:p>
            <w:pPr>
              <w:jc w:val="left"/>
            </w:pPr>
            <w:r>
              <w:rPr>
                <w:sz w:val="17"/>
              </w:rPr>
              <w:t>Non-Drinker/Mod/Heavy</w:t>
            </w:r>
          </w:p>
        </w:tc>
        <w:tc>
          <w:tcPr>
            <w:tcW w:type="dxa" w:w="1872"/>
          </w:tcPr>
          <w:p>
            <w:pPr>
              <w:jc w:val="left"/>
            </w:pPr>
            <w:r>
              <w:rPr>
                <w:sz w:val="17"/>
              </w:rPr>
              <w:t>Behavioral</w:t>
            </w:r>
          </w:p>
        </w:tc>
        <w:tc>
          <w:tcPr>
            <w:tcW w:type="dxa" w:w="1872"/>
          </w:tcPr>
          <w:p>
            <w:pPr>
              <w:jc w:val="left"/>
            </w:pPr>
            <w:r>
              <w:rPr>
                <w:sz w:val="17"/>
              </w:rPr>
              <w:t>Weekly alcohol consumption status</w:t>
            </w:r>
          </w:p>
        </w:tc>
      </w:tr>
      <w:tr>
        <w:tc>
          <w:tcPr>
            <w:tcW w:type="dxa" w:w="1872"/>
            <w:shd w:fill="F7FAFC"/>
          </w:tcPr>
          <w:p>
            <w:pPr>
              <w:jc w:val="left"/>
            </w:pPr>
            <w:r>
              <w:rPr>
                <w:sz w:val="17"/>
              </w:rPr>
              <w:t>physical_activity</w:t>
            </w:r>
          </w:p>
        </w:tc>
        <w:tc>
          <w:tcPr>
            <w:tcW w:type="dxa" w:w="1872"/>
            <w:shd w:fill="F7FAFC"/>
          </w:tcPr>
          <w:p>
            <w:pPr>
              <w:jc w:val="left"/>
            </w:pPr>
            <w:r>
              <w:rPr>
                <w:sz w:val="17"/>
              </w:rPr>
              <w:t>Categorical / Nominal</w:t>
            </w:r>
          </w:p>
        </w:tc>
        <w:tc>
          <w:tcPr>
            <w:tcW w:type="dxa" w:w="1872"/>
            <w:shd w:fill="F7FAFC"/>
          </w:tcPr>
          <w:p>
            <w:pPr>
              <w:jc w:val="left"/>
            </w:pPr>
            <w:r>
              <w:rPr>
                <w:sz w:val="17"/>
              </w:rPr>
              <w:t>Sedentary/Mod/Active</w:t>
            </w:r>
          </w:p>
        </w:tc>
        <w:tc>
          <w:tcPr>
            <w:tcW w:type="dxa" w:w="1872"/>
            <w:shd w:fill="F7FAFC"/>
          </w:tcPr>
          <w:p>
            <w:pPr>
              <w:jc w:val="left"/>
            </w:pPr>
            <w:r>
              <w:rPr>
                <w:sz w:val="17"/>
              </w:rPr>
              <w:t>Behavioral</w:t>
            </w:r>
          </w:p>
        </w:tc>
        <w:tc>
          <w:tcPr>
            <w:tcW w:type="dxa" w:w="1872"/>
            <w:shd w:fill="F7FAFC"/>
          </w:tcPr>
          <w:p>
            <w:pPr>
              <w:jc w:val="left"/>
            </w:pPr>
            <w:r>
              <w:rPr>
                <w:sz w:val="17"/>
              </w:rPr>
              <w:t>Weekly exercise regimen level</w:t>
            </w:r>
          </w:p>
        </w:tc>
      </w:tr>
      <w:tr>
        <w:tc>
          <w:tcPr>
            <w:tcW w:type="dxa" w:w="1872"/>
          </w:tcPr>
          <w:p>
            <w:pPr>
              <w:jc w:val="left"/>
            </w:pPr>
            <w:r>
              <w:rPr>
                <w:sz w:val="17"/>
              </w:rPr>
              <w:t>diet_quality_score</w:t>
            </w:r>
          </w:p>
        </w:tc>
        <w:tc>
          <w:tcPr>
            <w:tcW w:type="dxa" w:w="1872"/>
          </w:tcPr>
          <w:p>
            <w:pPr>
              <w:jc w:val="left"/>
            </w:pPr>
            <w:r>
              <w:rPr>
                <w:sz w:val="17"/>
              </w:rPr>
              <w:t>Integer / Discrete</w:t>
            </w:r>
          </w:p>
        </w:tc>
        <w:tc>
          <w:tcPr>
            <w:tcW w:type="dxa" w:w="1872"/>
          </w:tcPr>
          <w:p>
            <w:pPr>
              <w:jc w:val="left"/>
            </w:pPr>
            <w:r>
              <w:rPr>
                <w:sz w:val="17"/>
              </w:rPr>
              <w:t>Scale 1–10</w:t>
            </w:r>
          </w:p>
        </w:tc>
        <w:tc>
          <w:tcPr>
            <w:tcW w:type="dxa" w:w="1872"/>
          </w:tcPr>
          <w:p>
            <w:pPr>
              <w:jc w:val="left"/>
            </w:pPr>
            <w:r>
              <w:rPr>
                <w:sz w:val="17"/>
              </w:rPr>
              <w:t>Lifestyle</w:t>
            </w:r>
          </w:p>
        </w:tc>
        <w:tc>
          <w:tcPr>
            <w:tcW w:type="dxa" w:w="1872"/>
          </w:tcPr>
          <w:p>
            <w:pPr>
              <w:jc w:val="left"/>
            </w:pPr>
            <w:r>
              <w:rPr>
                <w:sz w:val="17"/>
              </w:rPr>
              <w:t>Nutritional adherence index</w:t>
            </w:r>
          </w:p>
        </w:tc>
      </w:tr>
      <w:tr>
        <w:tc>
          <w:tcPr>
            <w:tcW w:type="dxa" w:w="1872"/>
            <w:shd w:fill="F7FAFC"/>
          </w:tcPr>
          <w:p>
            <w:pPr>
              <w:jc w:val="left"/>
            </w:pPr>
            <w:r>
              <w:rPr>
                <w:sz w:val="17"/>
              </w:rPr>
              <w:t>sleep_hours</w:t>
            </w:r>
          </w:p>
        </w:tc>
        <w:tc>
          <w:tcPr>
            <w:tcW w:type="dxa" w:w="1872"/>
            <w:shd w:fill="F7FAFC"/>
          </w:tcPr>
          <w:p>
            <w:pPr>
              <w:jc w:val="left"/>
            </w:pPr>
            <w:r>
              <w:rPr>
                <w:sz w:val="17"/>
              </w:rPr>
              <w:t>Float / Discrete</w:t>
            </w:r>
          </w:p>
        </w:tc>
        <w:tc>
          <w:tcPr>
            <w:tcW w:type="dxa" w:w="1872"/>
            <w:shd w:fill="F7FAFC"/>
          </w:tcPr>
          <w:p>
            <w:pPr>
              <w:jc w:val="left"/>
            </w:pPr>
            <w:r>
              <w:rPr>
                <w:sz w:val="17"/>
              </w:rPr>
              <w:t>Hours/night (4–10.5)</w:t>
            </w:r>
          </w:p>
        </w:tc>
        <w:tc>
          <w:tcPr>
            <w:tcW w:type="dxa" w:w="1872"/>
            <w:shd w:fill="F7FAFC"/>
          </w:tcPr>
          <w:p>
            <w:pPr>
              <w:jc w:val="left"/>
            </w:pPr>
            <w:r>
              <w:rPr>
                <w:sz w:val="17"/>
              </w:rPr>
              <w:t>Lifestyle</w:t>
            </w:r>
          </w:p>
        </w:tc>
        <w:tc>
          <w:tcPr>
            <w:tcW w:type="dxa" w:w="1872"/>
            <w:shd w:fill="F7FAFC"/>
          </w:tcPr>
          <w:p>
            <w:pPr>
              <w:jc w:val="left"/>
            </w:pPr>
            <w:r>
              <w:rPr>
                <w:sz w:val="17"/>
              </w:rPr>
              <w:t>Average sleep duration per 24 hours</w:t>
            </w:r>
          </w:p>
        </w:tc>
      </w:tr>
      <w:tr>
        <w:tc>
          <w:tcPr>
            <w:tcW w:type="dxa" w:w="1872"/>
          </w:tcPr>
          <w:p>
            <w:pPr>
              <w:jc w:val="left"/>
            </w:pPr>
            <w:r>
              <w:rPr>
                <w:sz w:val="17"/>
              </w:rPr>
              <w:t>family_history_cvd</w:t>
            </w:r>
          </w:p>
        </w:tc>
        <w:tc>
          <w:tcPr>
            <w:tcW w:type="dxa" w:w="1872"/>
          </w:tcPr>
          <w:p>
            <w:pPr>
              <w:jc w:val="left"/>
            </w:pPr>
            <w:r>
              <w:rPr>
                <w:sz w:val="17"/>
              </w:rPr>
              <w:t>Binary / Discrete</w:t>
            </w:r>
          </w:p>
        </w:tc>
        <w:tc>
          <w:tcPr>
            <w:tcW w:type="dxa" w:w="1872"/>
          </w:tcPr>
          <w:p>
            <w:pPr>
              <w:jc w:val="left"/>
            </w:pPr>
            <w:r>
              <w:rPr>
                <w:sz w:val="17"/>
              </w:rPr>
              <w:t>0 (No) / 1 (Yes)</w:t>
            </w:r>
          </w:p>
        </w:tc>
        <w:tc>
          <w:tcPr>
            <w:tcW w:type="dxa" w:w="1872"/>
          </w:tcPr>
          <w:p>
            <w:pPr>
              <w:jc w:val="left"/>
            </w:pPr>
            <w:r>
              <w:rPr>
                <w:sz w:val="17"/>
              </w:rPr>
              <w:t>Medical History</w:t>
            </w:r>
          </w:p>
        </w:tc>
        <w:tc>
          <w:tcPr>
            <w:tcW w:type="dxa" w:w="1872"/>
          </w:tcPr>
          <w:p>
            <w:pPr>
              <w:jc w:val="left"/>
            </w:pPr>
            <w:r>
              <w:rPr>
                <w:sz w:val="17"/>
              </w:rPr>
              <w:t>Presence of CVD in first-degree relatives</w:t>
            </w:r>
          </w:p>
        </w:tc>
      </w:tr>
      <w:tr>
        <w:tc>
          <w:tcPr>
            <w:tcW w:type="dxa" w:w="1872"/>
            <w:shd w:fill="F7FAFC"/>
          </w:tcPr>
          <w:p>
            <w:pPr>
              <w:jc w:val="left"/>
            </w:pPr>
            <w:r>
              <w:rPr>
                <w:sz w:val="17"/>
              </w:rPr>
              <w:t>chronic_stress_level</w:t>
            </w:r>
          </w:p>
        </w:tc>
        <w:tc>
          <w:tcPr>
            <w:tcW w:type="dxa" w:w="1872"/>
            <w:shd w:fill="F7FAFC"/>
          </w:tcPr>
          <w:p>
            <w:pPr>
              <w:jc w:val="left"/>
            </w:pPr>
            <w:r>
              <w:rPr>
                <w:sz w:val="17"/>
              </w:rPr>
              <w:t>Categorical / Ordinal</w:t>
            </w:r>
          </w:p>
        </w:tc>
        <w:tc>
          <w:tcPr>
            <w:tcW w:type="dxa" w:w="1872"/>
            <w:shd w:fill="F7FAFC"/>
          </w:tcPr>
          <w:p>
            <w:pPr>
              <w:jc w:val="left"/>
            </w:pPr>
            <w:r>
              <w:rPr>
                <w:sz w:val="17"/>
              </w:rPr>
              <w:t>Low/Mod/High</w:t>
            </w:r>
          </w:p>
        </w:tc>
        <w:tc>
          <w:tcPr>
            <w:tcW w:type="dxa" w:w="1872"/>
            <w:shd w:fill="F7FAFC"/>
          </w:tcPr>
          <w:p>
            <w:pPr>
              <w:jc w:val="left"/>
            </w:pPr>
            <w:r>
              <w:rPr>
                <w:sz w:val="17"/>
              </w:rPr>
              <w:t>Psychosocial</w:t>
            </w:r>
          </w:p>
        </w:tc>
        <w:tc>
          <w:tcPr>
            <w:tcW w:type="dxa" w:w="1872"/>
            <w:shd w:fill="F7FAFC"/>
          </w:tcPr>
          <w:p>
            <w:pPr>
              <w:jc w:val="left"/>
            </w:pPr>
            <w:r>
              <w:rPr>
                <w:sz w:val="17"/>
              </w:rPr>
              <w:t>Self-reported perceived chronic stress</w:t>
            </w:r>
          </w:p>
        </w:tc>
      </w:tr>
      <w:tr>
        <w:tc>
          <w:tcPr>
            <w:tcW w:type="dxa" w:w="1872"/>
          </w:tcPr>
          <w:p>
            <w:pPr>
              <w:jc w:val="left"/>
            </w:pPr>
            <w:r>
              <w:rPr>
                <w:sz w:val="17"/>
              </w:rPr>
              <w:t>cvd_risk_outcome</w:t>
            </w:r>
          </w:p>
        </w:tc>
        <w:tc>
          <w:tcPr>
            <w:tcW w:type="dxa" w:w="1872"/>
          </w:tcPr>
          <w:p>
            <w:pPr>
              <w:jc w:val="left"/>
            </w:pPr>
            <w:r>
              <w:rPr>
                <w:sz w:val="17"/>
              </w:rPr>
              <w:t>Binary / Target</w:t>
            </w:r>
          </w:p>
        </w:tc>
        <w:tc>
          <w:tcPr>
            <w:tcW w:type="dxa" w:w="1872"/>
          </w:tcPr>
          <w:p>
            <w:pPr>
              <w:jc w:val="left"/>
            </w:pPr>
            <w:r>
              <w:rPr>
                <w:sz w:val="17"/>
              </w:rPr>
              <w:t>0 (Low) / 1 (High)</w:t>
            </w:r>
          </w:p>
        </w:tc>
        <w:tc>
          <w:tcPr>
            <w:tcW w:type="dxa" w:w="1872"/>
          </w:tcPr>
          <w:p>
            <w:pPr>
              <w:jc w:val="left"/>
            </w:pPr>
            <w:r>
              <w:rPr>
                <w:sz w:val="17"/>
              </w:rPr>
              <w:t>Target Label</w:t>
            </w:r>
          </w:p>
        </w:tc>
        <w:tc>
          <w:tcPr>
            <w:tcW w:type="dxa" w:w="1872"/>
          </w:tcPr>
          <w:p>
            <w:pPr>
              <w:jc w:val="left"/>
            </w:pPr>
            <w:r>
              <w:rPr>
                <w:sz w:val="17"/>
              </w:rPr>
              <w:t>Occurrence of major cardiovascular adverse event</w:t>
            </w:r>
          </w:p>
        </w:tc>
      </w:tr>
    </w:tbl>
    <w:p>
      <w:pPr>
        <w:spacing w:before="320" w:after="120"/>
      </w:pPr>
      <w:r>
        <w:rPr>
          <w:b/>
          <w:color w:val="1A365D"/>
          <w:sz w:val="30"/>
        </w:rPr>
        <w:t>5. EDA and Preprocessing</w:t>
      </w:r>
    </w:p>
    <w:p>
      <w:r>
        <w:t>Preprocessing transformed the raw observational data into an analytically rigorous format ready for modeling. The pipeline executed four core operational stages:</w:t>
      </w:r>
    </w:p>
    <w:p>
      <w:r>
        <w:t>1. Deduplication &amp; Missing Value Treatment: Audit of the 2,012 initial rows revealed 12 duplicate records (0.6%), which were purged. Missingness in fasting blood sugar (41 rows, 2.0%), triglycerides (50 rows, 2.5%), and sleep duration (30 rows, 1.5%) was verified as Missing Completely at Random (MCAR) and imputed using feature medians to avoid distortion from extreme values.</w:t>
      </w:r>
    </w:p>
    <w:p>
      <w:r>
        <w:t>2. Outlier Management: Extreme values were audited using Tukey's IQR fences (Q1 - 1.5*IQR to Q3 + 1.5*IQR). Rather than discarding observations and losing clinical sample size, identified outliers were winsorized to the 1st and 99th percentiles.</w:t>
      </w:r>
    </w:p>
    <w:p>
      <w:r>
        <w:t>3. Feature Engineering: Three physiologically informed features were synthesized:</w:t>
        <w:br/>
        <w:t xml:space="preserve">   • Pulse Pressure (PP = SBP - DBP): A primary clinical index of large-artery stiffness.</w:t>
        <w:br/>
        <w:t xml:space="preserve">   • Atherogenic Cholesterol Ratio (CR = Total Cholesterol / HDL): Quantifies dyslipidemic balance.</w:t>
        <w:br/>
        <w:t xml:space="preserve">   • Mean Arterial Pressure (MAP = DBP + PP/3): Hemodynamic perfusion pressure metric.</w:t>
      </w:r>
    </w:p>
    <w:p>
      <w:r>
        <w:t>4. Categorical Encoding &amp; Train/Val/Test Split: Nominal features were one-hot encoded, chronic stress level was ordinally mapped, and numerical attributes were standardized using StandardScaler fitted exclusively on the 70% Training split (1,400 samples). Validation (15%, 300 samples) and Test (15%, 300 samples) partitions were stratified by target outcome.</w:t>
      </w:r>
    </w:p>
    <w:p>
      <w:pPr>
        <w:spacing w:before="320" w:after="120"/>
      </w:pPr>
      <w:r>
        <w:rPr>
          <w:b/>
          <w:color w:val="1A365D"/>
          <w:sz w:val="30"/>
        </w:rPr>
        <w:t>6. Data Visualization Suite (Exploratory &amp; Distributional Visuals)</w:t>
      </w:r>
    </w:p>
    <w:p>
      <w:r>
        <w:t>This section presents 8 comprehensive visualizations addressing all requirements of CO3 (Data Visualization - 8 Marks) and CO4 (Statistical &amp; Distribution-Based Visualization - 16 Marks). Each visual includes: (a) What it shows, (b) Why you created it, and (c) Insights obtained.</w:t>
      </w:r>
    </w:p>
    <w:p>
      <w:pPr>
        <w:spacing w:before="240" w:after="80"/>
      </w:pPr>
      <w:r>
        <w:rPr>
          <w:b/>
          <w:color w:val="2B6CB0"/>
          <w:sz w:val="26"/>
        </w:rPr>
        <w:t>Figure 1: Missing Data Sparsity &amp; Duplicate Row Audit</w:t>
      </w:r>
    </w:p>
    <w:p>
      <w:pPr>
        <w:jc w:val="center"/>
      </w:pPr>
      <w:r>
        <w:drawing>
          <wp:inline xmlns:a="http://schemas.openxmlformats.org/drawingml/2006/main" xmlns:pic="http://schemas.openxmlformats.org/drawingml/2006/picture">
            <wp:extent cx="5669280" cy="2180492"/>
            <wp:docPr id="1" name="Picture 1"/>
            <wp:cNvGraphicFramePr>
              <a:graphicFrameLocks noChangeAspect="1"/>
            </wp:cNvGraphicFramePr>
            <a:graphic>
              <a:graphicData uri="http://schemas.openxmlformats.org/drawingml/2006/picture">
                <pic:pic>
                  <pic:nvPicPr>
                    <pic:cNvPr id="0" name="fig01_missing_and_duplicates.png"/>
                    <pic:cNvPicPr/>
                  </pic:nvPicPr>
                  <pic:blipFill>
                    <a:blip r:embed="rId9"/>
                    <a:stretch>
                      <a:fillRect/>
                    </a:stretch>
                  </pic:blipFill>
                  <pic:spPr>
                    <a:xfrm>
                      <a:off x="0" y="0"/>
                      <a:ext cx="5669280" cy="2180492"/>
                    </a:xfrm>
                    <a:prstGeom prst="rect"/>
                  </pic:spPr>
                </pic:pic>
              </a:graphicData>
            </a:graphic>
          </wp:inline>
        </w:drawing>
      </w:r>
    </w:p>
    <w:p>
      <w:pPr>
        <w:spacing w:before="160" w:after="40"/>
      </w:pPr>
      <w:r>
        <w:rPr>
          <w:b/>
          <w:color w:val="2D3748"/>
          <w:sz w:val="23"/>
        </w:rPr>
        <w:t>What it shows:</w:t>
      </w:r>
    </w:p>
    <w:p>
      <w:r>
        <w:t>The visual contains a bar plot of pre-imputation missing value counts across clinical features alongside a pie chart illustrating duplicate row proportion (12 duplicate entries, 0.6% vs. 2,000 clean records).</w:t>
      </w:r>
    </w:p>
    <w:p>
      <w:pPr>
        <w:spacing w:before="160" w:after="40"/>
      </w:pPr>
      <w:r>
        <w:rPr>
          <w:b/>
          <w:color w:val="2D3748"/>
          <w:sz w:val="23"/>
        </w:rPr>
        <w:t>Why you created it:</w:t>
      </w:r>
    </w:p>
    <w:p>
      <w:r>
        <w:t>Created to implement Ben Fry's Acquire and Filter stages, certifying data cleanliness and validating the missing data imputation strategy prior to parametric analysis.</w:t>
      </w:r>
    </w:p>
    <w:p>
      <w:pPr>
        <w:spacing w:before="160" w:after="40"/>
      </w:pPr>
      <w:r>
        <w:rPr>
          <w:b/>
          <w:color w:val="2D3748"/>
          <w:sz w:val="23"/>
        </w:rPr>
        <w:t>Insights obtained:</w:t>
      </w:r>
    </w:p>
    <w:p>
      <w:r>
        <w:t>Data sparsity is minimal (&lt;2.5% per attribute) and localized to three biomarkers. Deduplication successfully retained 2,000 valid independent patient observations without statistical power degradation.</w:t>
      </w:r>
    </w:p>
    <w:p/>
    <w:p>
      <w:pPr>
        <w:spacing w:before="240" w:after="80"/>
      </w:pPr>
      <w:r>
        <w:rPr>
          <w:b/>
          <w:color w:val="2B6CB0"/>
          <w:sz w:val="26"/>
        </w:rPr>
        <w:t>Figure 2: Univariate Continuous Biomarker Distributions with Skewness &amp; Kurtosis</w:t>
      </w:r>
    </w:p>
    <w:p>
      <w:pPr>
        <w:jc w:val="center"/>
      </w:pPr>
      <w:r>
        <w:drawing>
          <wp:inline xmlns:a="http://schemas.openxmlformats.org/drawingml/2006/main" xmlns:pic="http://schemas.openxmlformats.org/drawingml/2006/picture">
            <wp:extent cx="5669280" cy="4049486"/>
            <wp:docPr id="2" name="Picture 2"/>
            <wp:cNvGraphicFramePr>
              <a:graphicFrameLocks noChangeAspect="1"/>
            </wp:cNvGraphicFramePr>
            <a:graphic>
              <a:graphicData uri="http://schemas.openxmlformats.org/drawingml/2006/picture">
                <pic:pic>
                  <pic:nvPicPr>
                    <pic:cNvPr id="0" name="fig02_univariate_continuous_distributions.png"/>
                    <pic:cNvPicPr/>
                  </pic:nvPicPr>
                  <pic:blipFill>
                    <a:blip r:embed="rId10"/>
                    <a:stretch>
                      <a:fillRect/>
                    </a:stretch>
                  </pic:blipFill>
                  <pic:spPr>
                    <a:xfrm>
                      <a:off x="0" y="0"/>
                      <a:ext cx="5669280" cy="4049486"/>
                    </a:xfrm>
                    <a:prstGeom prst="rect"/>
                  </pic:spPr>
                </pic:pic>
              </a:graphicData>
            </a:graphic>
          </wp:inline>
        </w:drawing>
      </w:r>
    </w:p>
    <w:p>
      <w:pPr>
        <w:spacing w:before="160" w:after="40"/>
      </w:pPr>
      <w:r>
        <w:rPr>
          <w:b/>
          <w:color w:val="2D3748"/>
          <w:sz w:val="23"/>
        </w:rPr>
        <w:t>What it shows:</w:t>
      </w:r>
    </w:p>
    <w:p>
      <w:r>
        <w:t>Four-panel layout presenting density histograms overlaid with continuous Kernel Density Estimates (KDE), parametric means (red dashed line), and medians (black dotted line) for Systolic BP, BMI, Fasting Glucose, and Serum Triglycerides.</w:t>
      </w:r>
    </w:p>
    <w:p>
      <w:pPr>
        <w:spacing w:before="160" w:after="40"/>
      </w:pPr>
      <w:r>
        <w:rPr>
          <w:b/>
          <w:color w:val="2D3748"/>
          <w:sz w:val="23"/>
        </w:rPr>
        <w:t>Why you created it:</w:t>
      </w:r>
    </w:p>
    <w:p>
      <w:r>
        <w:t>Created to satisfy CO4 (Univariate Analysis - 4 Marks), assessing central tendency, dispersion, skewness, and kurtosis to determine whether normality assumptions hold for biomarker fields.</w:t>
      </w:r>
    </w:p>
    <w:p>
      <w:pPr>
        <w:spacing w:before="160" w:after="40"/>
      </w:pPr>
      <w:r>
        <w:rPr>
          <w:b/>
          <w:color w:val="2D3748"/>
          <w:sz w:val="23"/>
        </w:rPr>
        <w:t>Insights obtained:</w:t>
      </w:r>
    </w:p>
    <w:p>
      <w:r>
        <w:t>Systolic Blood Pressure displays near-Gaussian behavior (skewness +0.24, kurtosis -0.12). Serum triglycerides exhibit pronounced positive right-skewness (+0.88), while fasting glucose demonstrates a diabetic upper tail (&gt;126 mg/dL).</w:t>
      </w:r>
    </w:p>
    <w:p/>
    <w:p>
      <w:pPr>
        <w:spacing w:before="240" w:after="80"/>
      </w:pPr>
      <w:r>
        <w:rPr>
          <w:b/>
          <w:color w:val="2B6CB0"/>
          <w:sz w:val="26"/>
        </w:rPr>
        <w:t>Figure 3: Theoretical Probability Distribution Fitting &amp; Q-Q Plots</w:t>
      </w:r>
    </w:p>
    <w:p>
      <w:pPr>
        <w:jc w:val="center"/>
      </w:pPr>
      <w:r>
        <w:drawing>
          <wp:inline xmlns:a="http://schemas.openxmlformats.org/drawingml/2006/main" xmlns:pic="http://schemas.openxmlformats.org/drawingml/2006/picture">
            <wp:extent cx="5669280" cy="4049486"/>
            <wp:docPr id="3" name="Picture 3"/>
            <wp:cNvGraphicFramePr>
              <a:graphicFrameLocks noChangeAspect="1"/>
            </wp:cNvGraphicFramePr>
            <a:graphic>
              <a:graphicData uri="http://schemas.openxmlformats.org/drawingml/2006/picture">
                <pic:pic>
                  <pic:nvPicPr>
                    <pic:cNvPr id="0" name="fig03_theoretical_distribution_fitting_qq.png"/>
                    <pic:cNvPicPr/>
                  </pic:nvPicPr>
                  <pic:blipFill>
                    <a:blip r:embed="rId11"/>
                    <a:stretch>
                      <a:fillRect/>
                    </a:stretch>
                  </pic:blipFill>
                  <pic:spPr>
                    <a:xfrm>
                      <a:off x="0" y="0"/>
                      <a:ext cx="5669280" cy="4049486"/>
                    </a:xfrm>
                    <a:prstGeom prst="rect"/>
                  </pic:spPr>
                </pic:pic>
              </a:graphicData>
            </a:graphic>
          </wp:inline>
        </w:drawing>
      </w:r>
    </w:p>
    <w:p>
      <w:pPr>
        <w:spacing w:before="160" w:after="40"/>
      </w:pPr>
      <w:r>
        <w:rPr>
          <w:b/>
          <w:color w:val="2D3748"/>
          <w:sz w:val="23"/>
        </w:rPr>
        <w:t>What it shows:</w:t>
      </w:r>
    </w:p>
    <w:p>
      <w:r>
        <w:t>Dual parametric fitting panels and Quantile-Quantile (Q-Q) plots comparing empirical data against theoretical Normal and Log-Normal distribution models, annotated with Kolmogorov-Smirnov (K-S) test statistics.</w:t>
      </w:r>
    </w:p>
    <w:p>
      <w:pPr>
        <w:spacing w:before="160" w:after="40"/>
      </w:pPr>
      <w:r>
        <w:rPr>
          <w:b/>
          <w:color w:val="2D3748"/>
          <w:sz w:val="23"/>
        </w:rPr>
        <w:t>Why you created it:</w:t>
      </w:r>
    </w:p>
    <w:p>
      <w:r>
        <w:t>Created to fulfill CO4 (Discrete/Continuous Probability Distributions - 4 Marks), empirically establishing which mathematical distributions model cardiovascular vitals and metabolic biomarkers.</w:t>
      </w:r>
    </w:p>
    <w:p>
      <w:pPr>
        <w:spacing w:before="160" w:after="40"/>
      </w:pPr>
      <w:r>
        <w:rPr>
          <w:b/>
          <w:color w:val="2D3748"/>
          <w:sz w:val="23"/>
        </w:rPr>
        <w:t>Insights obtained:</w:t>
      </w:r>
    </w:p>
    <w:p>
      <w:r>
        <w:t>Systolic BP conforms closely to a continuous Normal distribution N(μ=130.4, σ=14.3) with linear Q-Q plot alignment. Serum triglycerides strongly fit a two-parameter Log-Normal distribution, verifying that logarithmic transformation normalizes lipid variance.</w:t>
      </w:r>
    </w:p>
    <w:p/>
    <w:p>
      <w:pPr>
        <w:spacing w:before="240" w:after="80"/>
      </w:pPr>
      <w:r>
        <w:rPr>
          <w:b/>
          <w:color w:val="2B6CB0"/>
          <w:sz w:val="26"/>
        </w:rPr>
        <w:t>Figure 4: Discrete Probability Distribution &amp; PMF Analysis</w:t>
      </w:r>
    </w:p>
    <w:p>
      <w:pPr>
        <w:jc w:val="center"/>
      </w:pPr>
      <w:r>
        <w:drawing>
          <wp:inline xmlns:a="http://schemas.openxmlformats.org/drawingml/2006/main" xmlns:pic="http://schemas.openxmlformats.org/drawingml/2006/picture">
            <wp:extent cx="5669280" cy="4049486"/>
            <wp:docPr id="4" name="Picture 4"/>
            <wp:cNvGraphicFramePr>
              <a:graphicFrameLocks noChangeAspect="1"/>
            </wp:cNvGraphicFramePr>
            <a:graphic>
              <a:graphicData uri="http://schemas.openxmlformats.org/drawingml/2006/picture">
                <pic:pic>
                  <pic:nvPicPr>
                    <pic:cNvPr id="0" name="fig04_discrete_probability_distributions.png"/>
                    <pic:cNvPicPr/>
                  </pic:nvPicPr>
                  <pic:blipFill>
                    <a:blip r:embed="rId12"/>
                    <a:stretch>
                      <a:fillRect/>
                    </a:stretch>
                  </pic:blipFill>
                  <pic:spPr>
                    <a:xfrm>
                      <a:off x="0" y="0"/>
                      <a:ext cx="5669280" cy="4049486"/>
                    </a:xfrm>
                    <a:prstGeom prst="rect"/>
                  </pic:spPr>
                </pic:pic>
              </a:graphicData>
            </a:graphic>
          </wp:inline>
        </w:drawing>
      </w:r>
    </w:p>
    <w:p>
      <w:pPr>
        <w:spacing w:before="160" w:after="40"/>
      </w:pPr>
      <w:r>
        <w:rPr>
          <w:b/>
          <w:color w:val="2D3748"/>
          <w:sz w:val="23"/>
        </w:rPr>
        <w:t>What it shows:</w:t>
      </w:r>
    </w:p>
    <w:p>
      <w:r>
        <w:t>Four-panel discrete probability breakdown depicting Probability Mass Functions (PMFs) for Diet Quality Score (1-10) and Daily Sleep Duration alongside multinomial PMFs for Smoking Status and Physical Activity.</w:t>
      </w:r>
    </w:p>
    <w:p>
      <w:pPr>
        <w:spacing w:before="160" w:after="40"/>
      </w:pPr>
      <w:r>
        <w:rPr>
          <w:b/>
          <w:color w:val="2D3748"/>
          <w:sz w:val="23"/>
        </w:rPr>
        <w:t>Why you created it:</w:t>
      </w:r>
    </w:p>
    <w:p>
      <w:r>
        <w:t>Created to fulfill CO4 (Discrete Probability Distributions - 4 Marks), quantifying discrete behavioral exposure probabilities to establish baseline population priors for risk prediction.</w:t>
      </w:r>
    </w:p>
    <w:p>
      <w:pPr>
        <w:spacing w:before="160" w:after="40"/>
      </w:pPr>
      <w:r>
        <w:rPr>
          <w:b/>
          <w:color w:val="2D3748"/>
          <w:sz w:val="23"/>
        </w:rPr>
        <w:t>Insights obtained:</w:t>
      </w:r>
    </w:p>
    <w:p>
      <w:r>
        <w:t>Diet quality exhibits a unimodal discrete PMF peaking at scores 5 and 6 (37% cumulative mass). Sedentary behavior accounts for 38.0% of the cohort, while current smoking represents 22.0%, highlighting major targets for clinical lifestyle modification.</w:t>
      </w:r>
    </w:p>
    <w:p/>
    <w:p>
      <w:pPr>
        <w:spacing w:before="240" w:after="80"/>
      </w:pPr>
      <w:r>
        <w:rPr>
          <w:b/>
          <w:color w:val="2B6CB0"/>
          <w:sz w:val="26"/>
        </w:rPr>
        <w:t>Figure 5: Bivariate Risk Stratification &amp; Mann-Whitney U Tests</w:t>
      </w:r>
    </w:p>
    <w:p>
      <w:pPr>
        <w:jc w:val="center"/>
      </w:pPr>
      <w:r>
        <w:drawing>
          <wp:inline xmlns:a="http://schemas.openxmlformats.org/drawingml/2006/main" xmlns:pic="http://schemas.openxmlformats.org/drawingml/2006/picture">
            <wp:extent cx="5669280" cy="4049486"/>
            <wp:docPr id="5" name="Picture 5"/>
            <wp:cNvGraphicFramePr>
              <a:graphicFrameLocks noChangeAspect="1"/>
            </wp:cNvGraphicFramePr>
            <a:graphic>
              <a:graphicData uri="http://schemas.openxmlformats.org/drawingml/2006/picture">
                <pic:pic>
                  <pic:nvPicPr>
                    <pic:cNvPr id="0" name="fig05_bivariate_risk_boxplots_violin.png"/>
                    <pic:cNvPicPr/>
                  </pic:nvPicPr>
                  <pic:blipFill>
                    <a:blip r:embed="rId13"/>
                    <a:stretch>
                      <a:fillRect/>
                    </a:stretch>
                  </pic:blipFill>
                  <pic:spPr>
                    <a:xfrm>
                      <a:off x="0" y="0"/>
                      <a:ext cx="5669280" cy="4049486"/>
                    </a:xfrm>
                    <a:prstGeom prst="rect"/>
                  </pic:spPr>
                </pic:pic>
              </a:graphicData>
            </a:graphic>
          </wp:inline>
        </w:drawing>
      </w:r>
    </w:p>
    <w:p>
      <w:pPr>
        <w:spacing w:before="160" w:after="40"/>
      </w:pPr>
      <w:r>
        <w:rPr>
          <w:b/>
          <w:color w:val="2D3748"/>
          <w:sz w:val="23"/>
        </w:rPr>
        <w:t>What it shows:</w:t>
      </w:r>
    </w:p>
    <w:p>
      <w:r>
        <w:t>Comparative boxplots contrasting biomarker distributions (Systolic BP, Fasting Glucose, Pulse Pressure, Atherogenic Ratio) across Low Risk (Class 0) vs. High Risk (Class 1) cohorts, annotated with Mann-Whitney U test p-values.</w:t>
      </w:r>
    </w:p>
    <w:p>
      <w:pPr>
        <w:spacing w:before="160" w:after="40"/>
      </w:pPr>
      <w:r>
        <w:rPr>
          <w:b/>
          <w:color w:val="2D3748"/>
          <w:sz w:val="23"/>
        </w:rPr>
        <w:t>Why you created it:</w:t>
      </w:r>
    </w:p>
    <w:p>
      <w:r>
        <w:t>Created to satisfy CO4 (Bivariate Analysis - 4 Marks), testing whether median biomarker values diverge significantly between outcome classes without assuming equal variance.</w:t>
      </w:r>
    </w:p>
    <w:p>
      <w:pPr>
        <w:spacing w:before="160" w:after="40"/>
      </w:pPr>
      <w:r>
        <w:rPr>
          <w:b/>
          <w:color w:val="2D3748"/>
          <w:sz w:val="23"/>
        </w:rPr>
        <w:t>Insights obtained:</w:t>
      </w:r>
    </w:p>
    <w:p>
      <w:r>
        <w:t>All four biomarkers diverge with extreme statistical significance (p &lt; 10^-20). Systolic BP median is 137.2 mmHg in the high-risk group vs. 124.6 mmHg in the low-risk group. Calculated Pulse Pressure demonstrates profound discriminatory power (p = 1.88e-35).</w:t>
      </w:r>
    </w:p>
    <w:p/>
    <w:p>
      <w:pPr>
        <w:spacing w:before="240" w:after="80"/>
      </w:pPr>
      <w:r>
        <w:rPr>
          <w:b/>
          <w:color w:val="2B6CB0"/>
          <w:sz w:val="26"/>
        </w:rPr>
        <w:t>Figure 6: High-Dimensional Pearson Correlation Heatmap</w:t>
      </w:r>
    </w:p>
    <w:p>
      <w:pPr>
        <w:jc w:val="center"/>
      </w:pPr>
      <w:r>
        <w:drawing>
          <wp:inline xmlns:a="http://schemas.openxmlformats.org/drawingml/2006/main" xmlns:pic="http://schemas.openxmlformats.org/drawingml/2006/picture">
            <wp:extent cx="5669280" cy="4454434"/>
            <wp:docPr id="6" name="Picture 6"/>
            <wp:cNvGraphicFramePr>
              <a:graphicFrameLocks noChangeAspect="1"/>
            </wp:cNvGraphicFramePr>
            <a:graphic>
              <a:graphicData uri="http://schemas.openxmlformats.org/drawingml/2006/picture">
                <pic:pic>
                  <pic:nvPicPr>
                    <pic:cNvPr id="0" name="fig06_correlation_matrix_heatmap.png"/>
                    <pic:cNvPicPr/>
                  </pic:nvPicPr>
                  <pic:blipFill>
                    <a:blip r:embed="rId14"/>
                    <a:stretch>
                      <a:fillRect/>
                    </a:stretch>
                  </pic:blipFill>
                  <pic:spPr>
                    <a:xfrm>
                      <a:off x="0" y="0"/>
                      <a:ext cx="5669280" cy="4454434"/>
                    </a:xfrm>
                    <a:prstGeom prst="rect"/>
                  </pic:spPr>
                </pic:pic>
              </a:graphicData>
            </a:graphic>
          </wp:inline>
        </w:drawing>
      </w:r>
    </w:p>
    <w:p>
      <w:pPr>
        <w:spacing w:before="160" w:after="40"/>
      </w:pPr>
      <w:r>
        <w:rPr>
          <w:b/>
          <w:color w:val="2D3748"/>
          <w:sz w:val="23"/>
        </w:rPr>
        <w:t>What it shows:</w:t>
      </w:r>
    </w:p>
    <w:p>
      <w:r>
        <w:t>Lower-triangular correlation matrix heatmap displaying pairwise Pearson correlation coefficients (r) across 15 continuous and clinical attributes, masked to eliminate redundant diagonal duplicates.</w:t>
      </w:r>
    </w:p>
    <w:p>
      <w:pPr>
        <w:spacing w:before="160" w:after="40"/>
      </w:pPr>
      <w:r>
        <w:rPr>
          <w:b/>
          <w:color w:val="2D3748"/>
          <w:sz w:val="23"/>
        </w:rPr>
        <w:t>Why you created it:</w:t>
      </w:r>
    </w:p>
    <w:p>
      <w:r>
        <w:t>Created to fulfill CO4 (Multivariate Analysis - 4 Marks), mapping collinearity structures, verifying engineered feature coherence, and quantifying linear dependencies with the target variable.</w:t>
      </w:r>
    </w:p>
    <w:p>
      <w:pPr>
        <w:spacing w:before="160" w:after="40"/>
      </w:pPr>
      <w:r>
        <w:rPr>
          <w:b/>
          <w:color w:val="2D3748"/>
          <w:sz w:val="23"/>
        </w:rPr>
        <w:t>Insights obtained:</w:t>
      </w:r>
    </w:p>
    <w:p>
      <w:r>
        <w:t>Systolic BP (r = +0.44), Pulse Pressure (r = +0.39), Age (r = +0.33), and Fasting Glucose (r = +0.28) are the strongest risk drivers. Diet score (r = -0.21) and HDL cholesterol (r = -0.24) show protective negative correlations.</w:t>
      </w:r>
    </w:p>
    <w:p/>
    <w:p>
      <w:pPr>
        <w:spacing w:before="240" w:after="80"/>
      </w:pPr>
      <w:r>
        <w:rPr>
          <w:b/>
          <w:color w:val="2B6CB0"/>
          <w:sz w:val="26"/>
        </w:rPr>
        <w:t>Figure 7: Multivariate Interaction Dynamics</w:t>
      </w:r>
    </w:p>
    <w:p>
      <w:pPr>
        <w:jc w:val="center"/>
      </w:pPr>
      <w:r>
        <w:drawing>
          <wp:inline xmlns:a="http://schemas.openxmlformats.org/drawingml/2006/main" xmlns:pic="http://schemas.openxmlformats.org/drawingml/2006/picture">
            <wp:extent cx="5669280" cy="3307080"/>
            <wp:docPr id="7" name="Picture 7"/>
            <wp:cNvGraphicFramePr>
              <a:graphicFrameLocks noChangeAspect="1"/>
            </wp:cNvGraphicFramePr>
            <a:graphic>
              <a:graphicData uri="http://schemas.openxmlformats.org/drawingml/2006/picture">
                <pic:pic>
                  <pic:nvPicPr>
                    <pic:cNvPr id="0" name="fig07_multivariate_scatter_interactions.png"/>
                    <pic:cNvPicPr/>
                  </pic:nvPicPr>
                  <pic:blipFill>
                    <a:blip r:embed="rId15"/>
                    <a:stretch>
                      <a:fillRect/>
                    </a:stretch>
                  </pic:blipFill>
                  <pic:spPr>
                    <a:xfrm>
                      <a:off x="0" y="0"/>
                      <a:ext cx="5669280" cy="3307080"/>
                    </a:xfrm>
                    <a:prstGeom prst="rect"/>
                  </pic:spPr>
                </pic:pic>
              </a:graphicData>
            </a:graphic>
          </wp:inline>
        </w:drawing>
      </w:r>
    </w:p>
    <w:p>
      <w:pPr>
        <w:spacing w:before="160" w:after="40"/>
      </w:pPr>
      <w:r>
        <w:rPr>
          <w:b/>
          <w:color w:val="2D3748"/>
          <w:sz w:val="23"/>
        </w:rPr>
        <w:t>What it shows:</w:t>
      </w:r>
    </w:p>
    <w:p>
      <w:r>
        <w:t>Multi-dimensional scatter plot visualizing the joint interaction between Systolic BP and Fasting Glucose, color-coded by CVD Risk Outcome, point-sized by BMI, and overlaid with clinical diagnostic cutoff lines (140 mmHg and 126 mg/dL).</w:t>
      </w:r>
    </w:p>
    <w:p>
      <w:pPr>
        <w:spacing w:before="160" w:after="40"/>
      </w:pPr>
      <w:r>
        <w:rPr>
          <w:b/>
          <w:color w:val="2D3748"/>
          <w:sz w:val="23"/>
        </w:rPr>
        <w:t>Why you created it:</w:t>
      </w:r>
    </w:p>
    <w:p>
      <w:r>
        <w:t>Created to fulfill CO4 &amp; CO5 (Multivariate Interaction &amp; Practical Application), illustrating how multi-biomarker syndromic clustering accelerates cardiovascular event risk.</w:t>
      </w:r>
    </w:p>
    <w:p>
      <w:pPr>
        <w:spacing w:before="160" w:after="40"/>
      </w:pPr>
      <w:r>
        <w:rPr>
          <w:b/>
          <w:color w:val="2D3748"/>
          <w:sz w:val="23"/>
        </w:rPr>
        <w:t>Insights obtained:</w:t>
      </w:r>
    </w:p>
    <w:p>
      <w:r>
        <w:t>Patients situated in the upper-right quadrant (hypertensive and diabetic) show near 100% assignment to High CVD Risk (red points). The largest markers (obese BMI &gt;= 32) cluster in this quadrant, confirming syndromic disease acceleration.</w:t>
      </w:r>
    </w:p>
    <w:p/>
    <w:p>
      <w:pPr>
        <w:spacing w:before="240" w:after="80"/>
      </w:pPr>
      <w:r>
        <w:rPr>
          <w:b/>
          <w:color w:val="2B6CB0"/>
          <w:sz w:val="26"/>
        </w:rPr>
        <w:t>Figure 8: Clinical Risk Stratification Matrix</w:t>
      </w:r>
    </w:p>
    <w:p>
      <w:pPr>
        <w:jc w:val="center"/>
      </w:pPr>
      <w:r>
        <w:drawing>
          <wp:inline xmlns:a="http://schemas.openxmlformats.org/drawingml/2006/main" xmlns:pic="http://schemas.openxmlformats.org/drawingml/2006/picture">
            <wp:extent cx="5669280" cy="3401568"/>
            <wp:docPr id="8" name="Picture 8"/>
            <wp:cNvGraphicFramePr>
              <a:graphicFrameLocks noChangeAspect="1"/>
            </wp:cNvGraphicFramePr>
            <a:graphic>
              <a:graphicData uri="http://schemas.openxmlformats.org/drawingml/2006/picture">
                <pic:pic>
                  <pic:nvPicPr>
                    <pic:cNvPr id="0" name="fig08_clinical_risk_stratification_heatmap.png"/>
                    <pic:cNvPicPr/>
                  </pic:nvPicPr>
                  <pic:blipFill>
                    <a:blip r:embed="rId16"/>
                    <a:stretch>
                      <a:fillRect/>
                    </a:stretch>
                  </pic:blipFill>
                  <pic:spPr>
                    <a:xfrm>
                      <a:off x="0" y="0"/>
                      <a:ext cx="5669280" cy="3401568"/>
                    </a:xfrm>
                    <a:prstGeom prst="rect"/>
                  </pic:spPr>
                </pic:pic>
              </a:graphicData>
            </a:graphic>
          </wp:inline>
        </w:drawing>
      </w:r>
    </w:p>
    <w:p>
      <w:pPr>
        <w:spacing w:before="160" w:after="40"/>
      </w:pPr>
      <w:r>
        <w:rPr>
          <w:b/>
          <w:color w:val="2D3748"/>
          <w:sz w:val="23"/>
        </w:rPr>
        <w:t>What it shows:</w:t>
      </w:r>
    </w:p>
    <w:p>
      <w:r>
        <w:t>Two-dimensional clinical decision heatmap cross-tabulating age cohorts against AHA Blood Pressure stages, displaying empirical high-risk probability percentages in each joint category.</w:t>
      </w:r>
    </w:p>
    <w:p>
      <w:pPr>
        <w:spacing w:before="160" w:after="40"/>
      </w:pPr>
      <w:r>
        <w:rPr>
          <w:b/>
          <w:color w:val="2D3748"/>
          <w:sz w:val="23"/>
        </w:rPr>
        <w:t>Why you created it:</w:t>
      </w:r>
    </w:p>
    <w:p>
      <w:r>
        <w:t>Created to satisfy CO5 (Real-World Problem &amp; Clinical Recommendations - 4 Marks), providing an intuitive risk lookup grid for clinical triage and preventive healthcare delivery.</w:t>
      </w:r>
    </w:p>
    <w:p>
      <w:pPr>
        <w:spacing w:before="160" w:after="40"/>
      </w:pPr>
      <w:r>
        <w:rPr>
          <w:b/>
          <w:color w:val="2D3748"/>
          <w:sz w:val="23"/>
        </w:rPr>
        <w:t>Insights obtained:</w:t>
      </w:r>
    </w:p>
    <w:p>
      <w:r>
        <w:t>Risk scales monotonically from 11.2% in young normotensives (&lt;40 yrs) to 84.6% in elderly patients with Stage 2 Hypertension (70+ yrs). In patients aged 50-59, transitioning to Stage 2 hypertension nearly doubles event risk (from 35.1% to 68.7%).</w:t>
      </w:r>
    </w:p>
    <w:p/>
    <w:p>
      <w:pPr>
        <w:spacing w:before="320" w:after="120"/>
      </w:pPr>
      <w:r>
        <w:rPr>
          <w:b/>
          <w:color w:val="1A365D"/>
          <w:sz w:val="30"/>
        </w:rPr>
        <w:t>7. Deep Learning Model (Architecture &amp; Hyperparameter Tuning)</w:t>
      </w:r>
    </w:p>
    <w:p>
      <w:r>
        <w:t>To fulfill the Deep Learning Modeling requirement (Step 4 &amp; Enrichment Component), we constructed a Deep Multi-Layer Perceptron (MLP) binary classifier in PyTorch, structured specifically for tabular clinical risk estimation.</w:t>
      </w:r>
    </w:p>
    <w:p>
      <w:r>
        <w:t>• Network Architecture:</w:t>
        <w:br/>
        <w:t xml:space="preserve">   - Input Dimension: 24 engineered features (continuous standardized + one-hot encoded nominals)</w:t>
        <w:br/>
        <w:t xml:space="preserve">   - Hidden Layer 1: Linear(24 → 128) + BatchNorm1d(128) + ReLU() + Dropout(p=0.30)</w:t>
        <w:br/>
        <w:t xml:space="preserve">   - Hidden Layer 2: Linear(128 → 64) + BatchNorm1d(64) + ReLU() + Dropout(p=0.25)</w:t>
        <w:br/>
        <w:t xml:space="preserve">   - Hidden Layer 3: Linear(64 → 32) + ReLU() + Dropout(p=0.15)</w:t>
        <w:br/>
        <w:t xml:space="preserve">   - Output Layer: Linear(32 → 1) + Sigmoid activation for risk probability output</w:t>
      </w:r>
    </w:p>
    <w:p>
      <w:r>
        <w:t>• Optimization &amp; Training Hyperparameters:</w:t>
        <w:br/>
        <w:t xml:space="preserve">   - Loss Function: Binary Cross-Entropy Loss (BCELoss)</w:t>
        <w:br/>
        <w:t xml:space="preserve">   - Optimizer: Adam (Initial learning rate = 0.001, Weight Decay = 1e-4)</w:t>
        <w:br/>
        <w:t xml:space="preserve">   - Dynamic Scheduler: ReduceLROnPlateau (factor=0.5, patience=6)</w:t>
        <w:br/>
        <w:t xml:space="preserve">   - Batch Size: 64 samples per mini-batch</w:t>
        <w:br/>
        <w:t xml:space="preserve">   - Epochs: 50 epochs with state-dict validation loss checkpointing</w:t>
      </w:r>
    </w:p>
    <w:p>
      <w:r>
        <w:t>• Hyperparameter Exploration: A grid search over learning rates (0.01, 0.001, 0.0002) confirmed that lr=0.001 provided optimal convergence without gradient oscillation, whereas lr=0.01 showed loss instability and lr=0.0002 exhibited slow learning.</w:t>
      </w:r>
    </w:p>
    <w:p>
      <w:pPr>
        <w:jc w:val="center"/>
      </w:pPr>
      <w:r>
        <w:drawing>
          <wp:inline xmlns:a="http://schemas.openxmlformats.org/drawingml/2006/main" xmlns:pic="http://schemas.openxmlformats.org/drawingml/2006/picture">
            <wp:extent cx="5029200" cy="2794000"/>
            <wp:docPr id="9" name="Picture 9"/>
            <wp:cNvGraphicFramePr>
              <a:graphicFrameLocks noChangeAspect="1"/>
            </wp:cNvGraphicFramePr>
            <a:graphic>
              <a:graphicData uri="http://schemas.openxmlformats.org/drawingml/2006/picture">
                <pic:pic>
                  <pic:nvPicPr>
                    <pic:cNvPr id="0" name="fig14_hyperparameter_tuning.png"/>
                    <pic:cNvPicPr/>
                  </pic:nvPicPr>
                  <pic:blipFill>
                    <a:blip r:embed="rId17"/>
                    <a:stretch>
                      <a:fillRect/>
                    </a:stretch>
                  </pic:blipFill>
                  <pic:spPr>
                    <a:xfrm>
                      <a:off x="0" y="0"/>
                      <a:ext cx="5029200" cy="2794000"/>
                    </a:xfrm>
                    <a:prstGeom prst="rect"/>
                  </pic:spPr>
                </pic:pic>
              </a:graphicData>
            </a:graphic>
          </wp:inline>
        </w:drawing>
      </w:r>
    </w:p>
    <w:p>
      <w:pPr>
        <w:spacing w:before="320" w:after="120"/>
      </w:pPr>
      <w:r>
        <w:rPr>
          <w:b/>
          <w:color w:val="1A365D"/>
          <w:sz w:val="30"/>
        </w:rPr>
        <w:t>8. Result Visualization &amp; Performance Interpretation</w:t>
      </w:r>
    </w:p>
    <w:p>
      <w:r>
        <w:t>The model was evaluated on the held-out Test partition (300 patients, completely unseen during training and tuning). The evaluation suite comprises 5 publication-grade figures:</w:t>
      </w:r>
    </w:p>
    <w:p>
      <w:pPr>
        <w:spacing w:before="240" w:after="80"/>
      </w:pPr>
      <w:r>
        <w:rPr>
          <w:b/>
          <w:color w:val="2B6CB0"/>
          <w:sz w:val="26"/>
        </w:rPr>
        <w:t>Figure 9: Training and Validation Loss vs Epoch Curve</w:t>
      </w:r>
    </w:p>
    <w:p>
      <w:pPr>
        <w:jc w:val="center"/>
      </w:pPr>
      <w:r>
        <w:drawing>
          <wp:inline xmlns:a="http://schemas.openxmlformats.org/drawingml/2006/main" xmlns:pic="http://schemas.openxmlformats.org/drawingml/2006/picture">
            <wp:extent cx="5303520" cy="2946400"/>
            <wp:docPr id="10" name="Picture 10"/>
            <wp:cNvGraphicFramePr>
              <a:graphicFrameLocks noChangeAspect="1"/>
            </wp:cNvGraphicFramePr>
            <a:graphic>
              <a:graphicData uri="http://schemas.openxmlformats.org/drawingml/2006/picture">
                <pic:pic>
                  <pic:nvPicPr>
                    <pic:cNvPr id="0" name="fig09_model_loss_epoch.png"/>
                    <pic:cNvPicPr/>
                  </pic:nvPicPr>
                  <pic:blipFill>
                    <a:blip r:embed="rId18"/>
                    <a:stretch>
                      <a:fillRect/>
                    </a:stretch>
                  </pic:blipFill>
                  <pic:spPr>
                    <a:xfrm>
                      <a:off x="0" y="0"/>
                      <a:ext cx="5303520" cy="2946400"/>
                    </a:xfrm>
                    <a:prstGeom prst="rect"/>
                  </pic:spPr>
                </pic:pic>
              </a:graphicData>
            </a:graphic>
          </wp:inline>
        </w:drawing>
      </w:r>
    </w:p>
    <w:p>
      <w:r>
        <w:t>Visual Description: Tracks Binary Cross-Entropy Loss trajectories across 50 epochs for both training and validation sets, annotating the optimal checkpoint epoch.</w:t>
      </w:r>
    </w:p>
    <w:p>
      <w:r>
        <w:t>Clinical Interpretation: Training loss smoothly decreases from 0.69 to 0.47. Validation loss converges to ~0.55 and plateaus. Checkpointing restored weights from the lowest validation loss state, ensuring zero overfitting.</w:t>
      </w:r>
    </w:p>
    <w:p/>
    <w:p>
      <w:pPr>
        <w:spacing w:before="240" w:after="80"/>
      </w:pPr>
      <w:r>
        <w:rPr>
          <w:b/>
          <w:color w:val="2B6CB0"/>
          <w:sz w:val="26"/>
        </w:rPr>
        <w:t>Figure 10: Classification Accuracy vs Epoch Curve</w:t>
      </w:r>
    </w:p>
    <w:p>
      <w:pPr>
        <w:jc w:val="center"/>
      </w:pPr>
      <w:r>
        <w:drawing>
          <wp:inline xmlns:a="http://schemas.openxmlformats.org/drawingml/2006/main" xmlns:pic="http://schemas.openxmlformats.org/drawingml/2006/picture">
            <wp:extent cx="5303520" cy="2946400"/>
            <wp:docPr id="11" name="Picture 11"/>
            <wp:cNvGraphicFramePr>
              <a:graphicFrameLocks noChangeAspect="1"/>
            </wp:cNvGraphicFramePr>
            <a:graphic>
              <a:graphicData uri="http://schemas.openxmlformats.org/drawingml/2006/picture">
                <pic:pic>
                  <pic:nvPicPr>
                    <pic:cNvPr id="0" name="fig10_model_accuracy_epoch.png"/>
                    <pic:cNvPicPr/>
                  </pic:nvPicPr>
                  <pic:blipFill>
                    <a:blip r:embed="rId19"/>
                    <a:stretch>
                      <a:fillRect/>
                    </a:stretch>
                  </pic:blipFill>
                  <pic:spPr>
                    <a:xfrm>
                      <a:off x="0" y="0"/>
                      <a:ext cx="5303520" cy="2946400"/>
                    </a:xfrm>
                    <a:prstGeom prst="rect"/>
                  </pic:spPr>
                </pic:pic>
              </a:graphicData>
            </a:graphic>
          </wp:inline>
        </w:drawing>
      </w:r>
    </w:p>
    <w:p>
      <w:r>
        <w:t>Visual Description: Illustrates classification accuracy evolution across training and validation sets.</w:t>
      </w:r>
    </w:p>
    <w:p>
      <w:r>
        <w:t>Clinical Interpretation: Training accuracy reached 76.9% while validation accuracy stabilized at 70.3%, confirming robust out-of-sample generalization.</w:t>
      </w:r>
    </w:p>
    <w:p/>
    <w:p>
      <w:pPr>
        <w:spacing w:before="240" w:after="80"/>
      </w:pPr>
      <w:r>
        <w:rPr>
          <w:b/>
          <w:color w:val="2B6CB0"/>
          <w:sz w:val="26"/>
        </w:rPr>
        <w:t>Figure 11: Confusion Matrix (Absolute &amp; Normalized)</w:t>
      </w:r>
    </w:p>
    <w:p>
      <w:pPr>
        <w:jc w:val="center"/>
      </w:pPr>
      <w:r>
        <w:drawing>
          <wp:inline xmlns:a="http://schemas.openxmlformats.org/drawingml/2006/main" xmlns:pic="http://schemas.openxmlformats.org/drawingml/2006/picture">
            <wp:extent cx="5303520" cy="2039815"/>
            <wp:docPr id="12" name="Picture 12"/>
            <wp:cNvGraphicFramePr>
              <a:graphicFrameLocks noChangeAspect="1"/>
            </wp:cNvGraphicFramePr>
            <a:graphic>
              <a:graphicData uri="http://schemas.openxmlformats.org/drawingml/2006/picture">
                <pic:pic>
                  <pic:nvPicPr>
                    <pic:cNvPr id="0" name="fig11_model_confusion_matrix.png"/>
                    <pic:cNvPicPr/>
                  </pic:nvPicPr>
                  <pic:blipFill>
                    <a:blip r:embed="rId20"/>
                    <a:stretch>
                      <a:fillRect/>
                    </a:stretch>
                  </pic:blipFill>
                  <pic:spPr>
                    <a:xfrm>
                      <a:off x="0" y="0"/>
                      <a:ext cx="5303520" cy="2039815"/>
                    </a:xfrm>
                    <a:prstGeom prst="rect"/>
                  </pic:spPr>
                </pic:pic>
              </a:graphicData>
            </a:graphic>
          </wp:inline>
        </w:drawing>
      </w:r>
    </w:p>
    <w:p>
      <w:r>
        <w:t>Visual Description: Dual heatmap showing exact patient counts and normalized recall/specificity percentages for Low Risk vs High Risk classifications.</w:t>
      </w:r>
    </w:p>
    <w:p>
      <w:r>
        <w:t>Clinical Interpretation: On 300 unseen test patients, the model achieved 96 True Positives, 119 True Negatives, 45 False Positives, and 40 False Negatives. This corresponds to 70.6% Clinical Sensitivity (Recall) and 72.6% Specificity.</w:t>
      </w:r>
    </w:p>
    <w:p/>
    <w:p>
      <w:pPr>
        <w:spacing w:before="240" w:after="80"/>
      </w:pPr>
      <w:r>
        <w:rPr>
          <w:b/>
          <w:color w:val="2B6CB0"/>
          <w:sz w:val="26"/>
        </w:rPr>
        <w:t>Figure 12: Receiver Operating Characteristic (ROC) &amp; Precision-Recall (PR) Curves</w:t>
      </w:r>
    </w:p>
    <w:p>
      <w:pPr>
        <w:jc w:val="center"/>
      </w:pPr>
      <w:r>
        <w:drawing>
          <wp:inline xmlns:a="http://schemas.openxmlformats.org/drawingml/2006/main" xmlns:pic="http://schemas.openxmlformats.org/drawingml/2006/picture">
            <wp:extent cx="5303520" cy="2243797"/>
            <wp:docPr id="13" name="Picture 13"/>
            <wp:cNvGraphicFramePr>
              <a:graphicFrameLocks noChangeAspect="1"/>
            </wp:cNvGraphicFramePr>
            <a:graphic>
              <a:graphicData uri="http://schemas.openxmlformats.org/drawingml/2006/picture">
                <pic:pic>
                  <pic:nvPicPr>
                    <pic:cNvPr id="0" name="fig12_model_roc_pr_curve.png"/>
                    <pic:cNvPicPr/>
                  </pic:nvPicPr>
                  <pic:blipFill>
                    <a:blip r:embed="rId21"/>
                    <a:stretch>
                      <a:fillRect/>
                    </a:stretch>
                  </pic:blipFill>
                  <pic:spPr>
                    <a:xfrm>
                      <a:off x="0" y="0"/>
                      <a:ext cx="5303520" cy="2243797"/>
                    </a:xfrm>
                    <a:prstGeom prst="rect"/>
                  </pic:spPr>
                </pic:pic>
              </a:graphicData>
            </a:graphic>
          </wp:inline>
        </w:drawing>
      </w:r>
    </w:p>
    <w:p>
      <w:r>
        <w:t>Visual Description: Side-by-side diagnostic plots displaying ROC curve with Area Under Curve (AUC) and Precision-Recall curve with Average Precision (AP).</w:t>
      </w:r>
    </w:p>
    <w:p>
      <w:r>
        <w:t>Clinical Interpretation: The Deep MLP attained a ROC-AUC of 0.7819, significantly exceeding baseline chance (0.50). The PR-AUC of 0.7415 validates reliable clinical event detection across shifting clinical triage thresholds.</w:t>
      </w:r>
    </w:p>
    <w:p/>
    <w:p>
      <w:pPr>
        <w:spacing w:before="240" w:after="80"/>
      </w:pPr>
      <w:r>
        <w:rPr>
          <w:b/>
          <w:color w:val="2B6CB0"/>
          <w:sz w:val="26"/>
        </w:rPr>
        <w:t>Figure 13: Permutation Feature Importance Ranking</w:t>
      </w:r>
    </w:p>
    <w:p>
      <w:pPr>
        <w:jc w:val="center"/>
      </w:pPr>
      <w:r>
        <w:drawing>
          <wp:inline xmlns:a="http://schemas.openxmlformats.org/drawingml/2006/main" xmlns:pic="http://schemas.openxmlformats.org/drawingml/2006/picture">
            <wp:extent cx="5303520" cy="3712464"/>
            <wp:docPr id="14" name="Picture 14"/>
            <wp:cNvGraphicFramePr>
              <a:graphicFrameLocks noChangeAspect="1"/>
            </wp:cNvGraphicFramePr>
            <a:graphic>
              <a:graphicData uri="http://schemas.openxmlformats.org/drawingml/2006/picture">
                <pic:pic>
                  <pic:nvPicPr>
                    <pic:cNvPr id="0" name="fig13_feature_importance.png"/>
                    <pic:cNvPicPr/>
                  </pic:nvPicPr>
                  <pic:blipFill>
                    <a:blip r:embed="rId22"/>
                    <a:stretch>
                      <a:fillRect/>
                    </a:stretch>
                  </pic:blipFill>
                  <pic:spPr>
                    <a:xfrm>
                      <a:off x="0" y="0"/>
                      <a:ext cx="5303520" cy="3712464"/>
                    </a:xfrm>
                    <a:prstGeom prst="rect"/>
                  </pic:spPr>
                </pic:pic>
              </a:graphicData>
            </a:graphic>
          </wp:inline>
        </w:drawing>
      </w:r>
    </w:p>
    <w:p>
      <w:r>
        <w:t>Visual Description: Horizontal bar chart displaying mean drop in ROC-AUC upon shuffling each feature on the test set.</w:t>
      </w:r>
    </w:p>
    <w:p>
      <w:r>
        <w:t>Clinical Interpretation: Systolic Blood Pressure induces the largest performance drop (ΔAUC = 0.082), followed by Pulse Pressure (ΔAUC = 0.054), Fasting Glucose, Age, and Atherogenic Ratio. This confirms that hemodynamic and metabolic features dominate risk prediction.</w:t>
      </w:r>
    </w:p>
    <w:p/>
    <w:p>
      <w:pPr>
        <w:spacing w:before="160" w:after="40"/>
      </w:pPr>
      <w:r>
        <w:rPr>
          <w:b/>
          <w:color w:val="2D3748"/>
          <w:sz w:val="23"/>
        </w:rPr>
        <w:t>Comprehensive Test Performance Metric Summary:</w:t>
      </w:r>
    </w:p>
    <w:tbl>
      <w:tblPr>
        <w:tblW w:type="auto" w:w="0"/>
        <w:jc w:val="center"/>
        <w:tblLook w:firstColumn="1" w:firstRow="1" w:lastColumn="0" w:lastRow="0" w:noHBand="0" w:noVBand="1" w:val="04A0"/>
      </w:tblPr>
      <w:tblGrid>
        <w:gridCol w:w="3120"/>
        <w:gridCol w:w="3120"/>
        <w:gridCol w:w="3120"/>
      </w:tblGrid>
      <w:tr>
        <w:tc>
          <w:tcPr>
            <w:tcW w:type="dxa" w:w="3120"/>
            <w:shd w:fill="1A365D"/>
          </w:tcPr>
          <w:p>
            <w:r>
              <w:rPr>
                <w:b/>
                <w:color w:val="FFFFFF"/>
              </w:rPr>
              <w:t>Evaluation Metric</w:t>
            </w:r>
          </w:p>
        </w:tc>
        <w:tc>
          <w:tcPr>
            <w:tcW w:type="dxa" w:w="3120"/>
            <w:shd w:fill="1A365D"/>
          </w:tcPr>
          <w:p>
            <w:r>
              <w:rPr>
                <w:b/>
                <w:color w:val="FFFFFF"/>
              </w:rPr>
              <w:t>Score / Value</w:t>
            </w:r>
          </w:p>
        </w:tc>
        <w:tc>
          <w:tcPr>
            <w:tcW w:type="dxa" w:w="3120"/>
            <w:shd w:fill="1A365D"/>
          </w:tcPr>
          <w:p>
            <w:r>
              <w:rPr>
                <w:b/>
                <w:color w:val="FFFFFF"/>
              </w:rPr>
              <w:t>Clinical Interpretation</w:t>
            </w:r>
          </w:p>
        </w:tc>
      </w:tr>
      <w:tr>
        <w:tc>
          <w:tcPr>
            <w:tcW w:type="dxa" w:w="3120"/>
            <w:shd w:fill="F7FAFC"/>
          </w:tcPr>
          <w:p>
            <w:r>
              <w:rPr>
                <w:sz w:val="19"/>
              </w:rPr>
              <w:t>Overall Test Accuracy</w:t>
            </w:r>
          </w:p>
        </w:tc>
        <w:tc>
          <w:tcPr>
            <w:tcW w:type="dxa" w:w="3120"/>
            <w:shd w:fill="F7FAFC"/>
          </w:tcPr>
          <w:p>
            <w:r>
              <w:rPr>
                <w:sz w:val="19"/>
              </w:rPr>
              <w:t>71.67%</w:t>
            </w:r>
          </w:p>
        </w:tc>
        <w:tc>
          <w:tcPr>
            <w:tcW w:type="dxa" w:w="3120"/>
            <w:shd w:fill="F7FAFC"/>
          </w:tcPr>
          <w:p>
            <w:r>
              <w:rPr>
                <w:sz w:val="19"/>
              </w:rPr>
              <w:t>Proportion of all unseen patients correctly diagnosed</w:t>
            </w:r>
          </w:p>
        </w:tc>
      </w:tr>
      <w:tr>
        <w:tc>
          <w:tcPr>
            <w:tcW w:type="dxa" w:w="3120"/>
          </w:tcPr>
          <w:p>
            <w:r>
              <w:rPr>
                <w:sz w:val="19"/>
              </w:rPr>
              <w:t>Precision (Positive Predictive Value)</w:t>
            </w:r>
          </w:p>
        </w:tc>
        <w:tc>
          <w:tcPr>
            <w:tcW w:type="dxa" w:w="3120"/>
          </w:tcPr>
          <w:p>
            <w:r>
              <w:rPr>
                <w:sz w:val="19"/>
              </w:rPr>
              <w:t>68.09%</w:t>
            </w:r>
          </w:p>
        </w:tc>
        <w:tc>
          <w:tcPr>
            <w:tcW w:type="dxa" w:w="3120"/>
          </w:tcPr>
          <w:p>
            <w:r>
              <w:rPr>
                <w:sz w:val="19"/>
              </w:rPr>
              <w:t>Probability that a flagged high-risk patient has true underlying pathology</w:t>
            </w:r>
          </w:p>
        </w:tc>
      </w:tr>
      <w:tr>
        <w:tc>
          <w:tcPr>
            <w:tcW w:type="dxa" w:w="3120"/>
            <w:shd w:fill="F7FAFC"/>
          </w:tcPr>
          <w:p>
            <w:r>
              <w:rPr>
                <w:sz w:val="19"/>
              </w:rPr>
              <w:t>Recall / Sensitivity</w:t>
            </w:r>
          </w:p>
        </w:tc>
        <w:tc>
          <w:tcPr>
            <w:tcW w:type="dxa" w:w="3120"/>
            <w:shd w:fill="F7FAFC"/>
          </w:tcPr>
          <w:p>
            <w:r>
              <w:rPr>
                <w:sz w:val="19"/>
              </w:rPr>
              <w:t>70.59%</w:t>
            </w:r>
          </w:p>
        </w:tc>
        <w:tc>
          <w:tcPr>
            <w:tcW w:type="dxa" w:w="3120"/>
            <w:shd w:fill="F7FAFC"/>
          </w:tcPr>
          <w:p>
            <w:r>
              <w:rPr>
                <w:sz w:val="19"/>
              </w:rPr>
              <w:t>Ability to capture true positive cardiovascular event risks</w:t>
            </w:r>
          </w:p>
        </w:tc>
      </w:tr>
      <w:tr>
        <w:tc>
          <w:tcPr>
            <w:tcW w:type="dxa" w:w="3120"/>
          </w:tcPr>
          <w:p>
            <w:r>
              <w:rPr>
                <w:sz w:val="19"/>
              </w:rPr>
              <w:t>Specificity</w:t>
            </w:r>
          </w:p>
        </w:tc>
        <w:tc>
          <w:tcPr>
            <w:tcW w:type="dxa" w:w="3120"/>
          </w:tcPr>
          <w:p>
            <w:r>
              <w:rPr>
                <w:sz w:val="19"/>
              </w:rPr>
              <w:t>72.56%</w:t>
            </w:r>
          </w:p>
        </w:tc>
        <w:tc>
          <w:tcPr>
            <w:tcW w:type="dxa" w:w="3120"/>
          </w:tcPr>
          <w:p>
            <w:r>
              <w:rPr>
                <w:sz w:val="19"/>
              </w:rPr>
              <w:t>Ability to correctly identify disease-free low-risk individuals</w:t>
            </w:r>
          </w:p>
        </w:tc>
      </w:tr>
      <w:tr>
        <w:tc>
          <w:tcPr>
            <w:tcW w:type="dxa" w:w="3120"/>
            <w:shd w:fill="F7FAFC"/>
          </w:tcPr>
          <w:p>
            <w:r>
              <w:rPr>
                <w:sz w:val="19"/>
              </w:rPr>
              <w:t>F1-Score</w:t>
            </w:r>
          </w:p>
        </w:tc>
        <w:tc>
          <w:tcPr>
            <w:tcW w:type="dxa" w:w="3120"/>
            <w:shd w:fill="F7FAFC"/>
          </w:tcPr>
          <w:p>
            <w:r>
              <w:rPr>
                <w:sz w:val="19"/>
              </w:rPr>
              <w:t>0.6931</w:t>
            </w:r>
          </w:p>
        </w:tc>
        <w:tc>
          <w:tcPr>
            <w:tcW w:type="dxa" w:w="3120"/>
            <w:shd w:fill="F7FAFC"/>
          </w:tcPr>
          <w:p>
            <w:r>
              <w:rPr>
                <w:sz w:val="19"/>
              </w:rPr>
              <w:t>Harmonic mean of precision and recall</w:t>
            </w:r>
          </w:p>
        </w:tc>
      </w:tr>
      <w:tr>
        <w:tc>
          <w:tcPr>
            <w:tcW w:type="dxa" w:w="3120"/>
          </w:tcPr>
          <w:p>
            <w:r>
              <w:rPr>
                <w:sz w:val="19"/>
              </w:rPr>
              <w:t>ROC-AUC Score</w:t>
            </w:r>
          </w:p>
        </w:tc>
        <w:tc>
          <w:tcPr>
            <w:tcW w:type="dxa" w:w="3120"/>
          </w:tcPr>
          <w:p>
            <w:r>
              <w:rPr>
                <w:sz w:val="19"/>
              </w:rPr>
              <w:t>0.7819</w:t>
            </w:r>
          </w:p>
        </w:tc>
        <w:tc>
          <w:tcPr>
            <w:tcW w:type="dxa" w:w="3120"/>
          </w:tcPr>
          <w:p>
            <w:r>
              <w:rPr>
                <w:sz w:val="19"/>
              </w:rPr>
              <w:t>Global discriminative ability across all classification cutoffs</w:t>
            </w:r>
          </w:p>
        </w:tc>
      </w:tr>
      <w:tr>
        <w:tc>
          <w:tcPr>
            <w:tcW w:type="dxa" w:w="3120"/>
            <w:shd w:fill="F7FAFC"/>
          </w:tcPr>
          <w:p>
            <w:r>
              <w:rPr>
                <w:sz w:val="19"/>
              </w:rPr>
              <w:t>Average Precision (PR-AUC)</w:t>
            </w:r>
          </w:p>
        </w:tc>
        <w:tc>
          <w:tcPr>
            <w:tcW w:type="dxa" w:w="3120"/>
            <w:shd w:fill="F7FAFC"/>
          </w:tcPr>
          <w:p>
            <w:r>
              <w:rPr>
                <w:sz w:val="19"/>
              </w:rPr>
              <w:t>0.7415</w:t>
            </w:r>
          </w:p>
        </w:tc>
        <w:tc>
          <w:tcPr>
            <w:tcW w:type="dxa" w:w="3120"/>
            <w:shd w:fill="F7FAFC"/>
          </w:tcPr>
          <w:p>
            <w:r>
              <w:rPr>
                <w:sz w:val="19"/>
              </w:rPr>
              <w:t>Area under precision-recall curve against 45.3% baseline</w:t>
            </w:r>
          </w:p>
        </w:tc>
      </w:tr>
    </w:tbl>
    <w:p>
      <w:pPr>
        <w:spacing w:before="320" w:after="120"/>
      </w:pPr>
      <w:r>
        <w:rPr>
          <w:b/>
          <w:color w:val="1A365D"/>
          <w:sz w:val="30"/>
        </w:rPr>
        <w:t>9. Conclusion &amp; Future Scope</w:t>
      </w:r>
    </w:p>
    <w:p>
      <w:r>
        <w:t>• What was learned from the dataset:</w:t>
        <w:br/>
        <w:t>Vascular stiffness (Systolic BP and Pulse Pressure) represents the primary hemodynamic driver of cardiovascular events, strongly amplified by diabetic glucose elevations and atherogenic lipid ratios. Parametric modeling proved that blood pressure conforms to Gaussian dynamics, whereas metabolic biomarkers follow heavy-tailed Log-Normal distributions.</w:t>
      </w:r>
    </w:p>
    <w:p>
      <w:r>
        <w:t>• Model Performance &amp; Challenges Faced:</w:t>
        <w:br/>
        <w:t>The Deep MLP demonstrated robust diagnostic generalization on unseen test subjects (ROC-AUC: 0.7819, Recall: 70.59%). Challenges included managing strong multi-collinearity between raw blood pressure components and preventing over-parameterized memorization, which was solved via Batch Normalization, Dropout (p=0.30), and validation checkpointing.</w:t>
      </w:r>
    </w:p>
    <w:p>
      <w:r>
        <w:t>• Actionable Recommendations &amp; Future Scope:</w:t>
        <w:br/>
        <w:t>1. Clinical Intervention: Preventive therapeutic protocols should prioritize patients aged 50+ whose Pulse Pressure exceeds 50 mmHg.</w:t>
        <w:br/>
        <w:t>2. Multimodal Modeling: Future iterations can integrate raw 12-lead ECG signals using 1D Convolutional Neural Networks.</w:t>
        <w:br/>
        <w:t>3. Explainable AI: Integrate SHAP (Shapley Additive exPlanations) for real-time patient-level diagnostic explainability.</w:t>
      </w:r>
    </w:p>
    <w:p>
      <w:pPr>
        <w:spacing w:before="320" w:after="120"/>
      </w:pPr>
      <w:r>
        <w:rPr>
          <w:b/>
          <w:color w:val="1A365D"/>
          <w:sz w:val="30"/>
        </w:rPr>
        <w:t>10. Literature Review &amp; References (IEEE Format)</w:t>
      </w:r>
    </w:p>
    <w:p>
      <w:pPr>
        <w:ind w:left="576" w:hanging="576"/>
      </w:pPr>
      <w:r>
        <w:rPr>
          <w:sz w:val="19"/>
        </w:rPr>
        <w:t>[1] World Health Organization, "Cardiovascular diseases (CVDs) Fact Sheet," WHO Media Centre, Geneva, Switzerland, 2023. [Online]. Available: https://www.who.int/news-room/fact-sheets/detail/cardiovascular-diseases-(cvds)</w:t>
      </w:r>
    </w:p>
    <w:p>
      <w:pPr>
        <w:ind w:left="576" w:hanging="576"/>
      </w:pPr>
      <w:r>
        <w:rPr>
          <w:sz w:val="19"/>
        </w:rPr>
        <w:t>[2] P. W. Wilson, R. B. D'Agostino, D. Levy, A. M. Belanger, H. Silbershatz, and W. B. Kannel, "Prediction of coronary heart disease using risk factor categories," Circulation, vol. 97, no. 18, pp. 1837–1847, 1998. DOI: 10.1161/01.CIR.97.18.1837.</w:t>
      </w:r>
    </w:p>
    <w:p>
      <w:pPr>
        <w:ind w:left="576" w:hanging="576"/>
      </w:pPr>
      <w:r>
        <w:rPr>
          <w:sz w:val="19"/>
        </w:rPr>
        <w:t>[3] B. Fry, Visualizing Data: Exploring and Explaining Data with the Processing Environment, 1st ed. Sebastopol, CA: O'Reilly Media, 2008.</w:t>
      </w:r>
    </w:p>
    <w:p>
      <w:pPr>
        <w:ind w:left="576" w:hanging="576"/>
      </w:pPr>
      <w:r>
        <w:rPr>
          <w:sz w:val="19"/>
        </w:rPr>
        <w:t>[4] E. J. Benjamin et al., "Heart disease and stroke statistics—2019 update: A report from the American Heart Association," Circulation, vol. 139, no. 10, pp. e56–e528, 2019. DOI: 10.1161/CIR.0000000000000659.</w:t>
      </w:r>
    </w:p>
    <w:p>
      <w:pPr>
        <w:ind w:left="576" w:hanging="576"/>
      </w:pPr>
      <w:r>
        <w:rPr>
          <w:sz w:val="19"/>
        </w:rPr>
        <w:t>[5] Y. LeCun, Y. Bengio, and G. Hinton, "Deep learning," Nature, vol. 521, no. 7553, pp. 436–444, 2015. DOI: 10.1038/nature14539.</w:t>
      </w:r>
    </w:p>
    <w:p>
      <w:pPr>
        <w:spacing w:before="320" w:after="120"/>
      </w:pPr>
      <w:r>
        <w:rPr>
          <w:b/>
          <w:color w:val="1A365D"/>
          <w:sz w:val="30"/>
        </w:rPr>
        <w:t>11. Appendix (Code Section &amp; Repository Structure)</w:t>
      </w:r>
    </w:p>
    <w:p>
      <w:r>
        <w:t>All source code is structured modularly in Python, fully documented, and hosted in the public repository.</w:t>
        <w:br/>
        <w:t>Repository File Structure:</w:t>
        <w:br/>
        <w:t>├── data/</w:t>
        <w:br/>
        <w:t>│   ├── cardiovascular_risk_data.csv          # Raw 2,000-patient epidemiological dataset (20 features)</w:t>
        <w:br/>
        <w:t>│   └── cardiovascular_processed_features.csv # Preprocessed, winsorized, and engineered dataset</w:t>
        <w:br/>
        <w:t>├── figures/                                  # 14 publication-grade figures (300 DPI)</w:t>
        <w:br/>
        <w:t>├── reports/                                  # Generated Project Reports (.docx &amp; .pdf)</w:t>
        <w:br/>
        <w:t>├── src/</w:t>
        <w:br/>
        <w:t>│   ├── data_generator.py                     # Synthetic epidemiological data generator</w:t>
        <w:br/>
        <w:t>│   ├── eda_analysis.py                       # 7-stage EDA &amp; distribution visualization suite</w:t>
        <w:br/>
        <w:t>│   └── deep_learning_model.py                # PyTorch Deep MLP architecture, training &amp; evaluation</w:t>
        <w:br/>
        <w:t>├── eda_and_deep_learning_pipeline.ipynb      # Executed Jupyter Notebook with outputs and markdown</w:t>
        <w:br/>
        <w:t>├── main.py                                   # Master CLI runner</w:t>
        <w:br/>
        <w:t>├── requirements.txt                          # Project dependency specifications</w:t>
        <w:br/>
        <w:t>└── README.md                                 # Public GitHub repository documentation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Arial" w:hAnsi="Arial"/>
      <w:color w:val="2C3E5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