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Solution Requirements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Date:</w:t>
      </w:r>
      <w:r w:rsidDel="00000000" w:rsidR="00000000" w:rsidRPr="00000000">
        <w:rPr>
          <w:sz w:val="18"/>
          <w:szCs w:val="18"/>
          <w:rtl w:val="0"/>
        </w:rPr>
        <w:t xml:space="preserve"> 15 March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Team ID:</w:t>
      </w:r>
      <w:r w:rsidDel="00000000" w:rsidR="00000000" w:rsidRPr="00000000">
        <w:rPr>
          <w:sz w:val="18"/>
          <w:szCs w:val="18"/>
          <w:rtl w:val="0"/>
        </w:rPr>
        <w:t xml:space="preserve"> SWTID-2026-9846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Team Size:</w:t>
      </w:r>
      <w:r w:rsidDel="00000000" w:rsidR="00000000" w:rsidRPr="00000000">
        <w:rPr>
          <w:sz w:val="18"/>
          <w:szCs w:val="18"/>
          <w:rtl w:val="0"/>
        </w:rPr>
        <w:t xml:space="preserve"> 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 Name:</w:t>
      </w:r>
      <w:r w:rsidDel="00000000" w:rsidR="00000000" w:rsidRPr="00000000">
        <w:rPr>
          <w:sz w:val="18"/>
          <w:szCs w:val="18"/>
          <w:rtl w:val="0"/>
        </w:rPr>
        <w:t xml:space="preserve"> Implement Client Script &amp; UI Policy (Incident)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Maximum Marks:</w:t>
      </w:r>
      <w:r w:rsidDel="00000000" w:rsidR="00000000" w:rsidRPr="00000000">
        <w:rPr>
          <w:sz w:val="18"/>
          <w:szCs w:val="18"/>
          <w:rtl w:val="0"/>
        </w:rPr>
        <w:t xml:space="preserve"> 4 Marks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Define Functional and Non-Functional Requirements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The requirements below are derived only from the project document. Where the project document does not specify a requirement or metric, it is marked as not specified.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Step 1: Functional Requirements (FR)</w:t>
      </w:r>
    </w:p>
    <w:tbl>
      <w:tblPr>
        <w:tblStyle w:val="Table1"/>
        <w:tblW w:w="9359.999999999998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561.5999999999999"/>
        <w:gridCol w:w="2246.3999999999996"/>
        <w:gridCol w:w="5148"/>
        <w:gridCol w:w="1404"/>
        <w:tblGridChange w:id="0">
          <w:tblGrid>
            <w:gridCol w:w="561.5999999999999"/>
            <w:gridCol w:w="2246.3999999999996"/>
            <w:gridCol w:w="5148"/>
            <w:gridCol w:w="14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Requirement Category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Requirement Description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Priority (High/Medium/Low)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="32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Authentication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specified in the project document.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Authorization levels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specified in the project document.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External interfaces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specified in the project document. The solution is configured on the ServiceNow Incident table.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Transactions processing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Incident form submissions must be controlled so that High Impact incidents cannot be saved when Assigned To is empty. Client-side validation returns false when the condition is not met.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Reporting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The project document states that consistent and accurate Incident data supports reporting accuracy. No separate reporting feature is specified.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Business rules, etc.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When Impact is High, Assignment group is mandatory, Urgency is read-only, Urgency is automatically set to High, Assigned To is required before submission, and State cannot be changed through list editing. When Impact is changed away from High, the mandatory/read-only conditions are reversed.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Compliance to laws or regulations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specified in the project document.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Other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The solution must support testing of mandatory enforcement, successful save, reverse condition, list-edit blocking, and form-based State update.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70" w:lineRule="auto"/>
        <w:ind w:left="0" w:right="0" w:firstLine="0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Step 2: Non-Functional Requirements (NFR)</w:t>
      </w:r>
    </w:p>
    <w:tbl>
      <w:tblPr>
        <w:tblStyle w:val="Table2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561.5999999999999"/>
        <w:gridCol w:w="2340"/>
        <w:gridCol w:w="4118.4"/>
        <w:gridCol w:w="2340"/>
        <w:tblGridChange w:id="0">
          <w:tblGrid>
            <w:gridCol w:w="561.5999999999999"/>
            <w:gridCol w:w="2340"/>
            <w:gridCol w:w="4118.4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NFR Category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Requirement Description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Target Metric / Acceptance Criteria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75" w:before="375" w:line="32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Performance &amp; Speed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The project is intended as a lightweight and efficient micro project using client-side UI Policies and Client Scripts.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Lightweight and efficient; no numeric response-time target specified.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Scalability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specified in the project document.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specified in the project document.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Security &amp; Data Privacy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specified in the project document.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Not specified in the project document.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Reliability &amp; Availability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The configured controls should consistently enforce the specified Incident field behavior during testing.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Required behaviors pass the documented test cases; no uptime target specified.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Usability &amp; Accessibility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The solution dynamically controls fields and provides an information/error message to guide users when required conditions are not met.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Required messages and field behavior are displayed as documented; no accessibility standard specified.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Other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The configuration should maintain Incident data quality and consistency by reducing incomplete, inconsistent, or incorrect submissions.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Data integrity controls operate according to the documented UI Policies and Client Scripts.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75" w:before="375" w:line="324.0000057220459" w:lineRule="auto"/>
        <w:ind w:left="525" w:right="52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  <w:ind w:left="0" w:right="0" w:firstLine="0"/>
      <w:jc w:val="center"/>
    </w:pPr>
    <w:rPr>
      <w:b w:val="1"/>
      <w:bCs w:val="1"/>
      <w:i w:val="0"/>
      <w:iCs w:val="0"/>
      <w:color w:val="111111"/>
      <w:sz w:val="30"/>
      <w:szCs w:val="3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