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72"/>
        </w:rPr>
        <w:t>AIDCF</w:t>
      </w:r>
    </w:p>
    <w:p>
      <w:pPr>
        <w:jc w:val="center"/>
      </w:pPr>
      <w:r>
        <w:rPr>
          <w:b/>
          <w:color w:val="2F75B5"/>
          <w:sz w:val="46"/>
        </w:rPr>
        <w:t>AI Data Centre Facilities Assurance Framework</w:t>
      </w:r>
    </w:p>
    <w:p>
      <w:pPr>
        <w:jc w:val="center"/>
      </w:pPr>
      <w:r>
        <w:rPr>
          <w:i/>
          <w:color w:val="586174"/>
          <w:sz w:val="26"/>
        </w:rPr>
        <w:t>Capability-centred, evidence-gated and graph-native assurance for AI infrastructure</w:t>
      </w:r>
    </w:p>
    <w:p>
      <w:pPr>
        <w:jc w:val="center"/>
      </w:pPr>
      <w:r/>
    </w:p>
    <w:p>
      <w:pPr>
        <w:pStyle w:val="Caption"/>
        <w:jc w:val="center"/>
      </w:pPr>
      <w:r>
        <w:t>Figure 1. AIDCF canonical assurance argument.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Field</w:t>
            </w:r>
          </w:p>
        </w:tc>
        <w:tc>
          <w:tcPr>
            <w:tcW w:type="dxa" w:w="5083"/>
            <w:shd w:fill="17365D"/>
            <w:vAlign w:val="center"/>
          </w:tcPr>
          <w:p>
            <w:r>
              <w:rPr>
                <w:b/>
                <w:color w:val="FFFFFF"/>
                <w:sz w:val="15"/>
              </w:rPr>
              <w:t>Value</w:t>
            </w:r>
          </w:p>
        </w:tc>
      </w:tr>
      <w:tr>
        <w:tc>
          <w:tcPr>
            <w:tcW w:type="dxa" w:w="5083"/>
            <w:vAlign w:val="top"/>
          </w:tcPr>
          <w:p>
            <w:r>
              <w:rPr>
                <w:sz w:val="16"/>
              </w:rPr>
              <w:t>Artifact</w:t>
            </w:r>
          </w:p>
        </w:tc>
        <w:tc>
          <w:tcPr>
            <w:tcW w:type="dxa" w:w="5083"/>
            <w:vAlign w:val="top"/>
          </w:tcPr>
          <w:p>
            <w:r>
              <w:rPr>
                <w:sz w:val="16"/>
              </w:rPr>
              <w:t>AIDCF-WP-001</w:t>
            </w:r>
          </w:p>
        </w:tc>
      </w:tr>
      <w:tr>
        <w:tc>
          <w:tcPr>
            <w:tcW w:type="dxa" w:w="5083"/>
            <w:vAlign w:val="top"/>
            <w:shd w:fill="F4F7FA"/>
          </w:tcPr>
          <w:p>
            <w:r>
              <w:rPr>
                <w:sz w:val="16"/>
              </w:rPr>
              <w:t>Version</w:t>
            </w:r>
          </w:p>
        </w:tc>
        <w:tc>
          <w:tcPr>
            <w:tcW w:type="dxa" w:w="5083"/>
            <w:vAlign w:val="top"/>
            <w:shd w:fill="F4F7FA"/>
          </w:tcPr>
          <w:p>
            <w:r>
              <w:t>3.0</w:t>
            </w:r>
          </w:p>
        </w:tc>
      </w:tr>
      <w:tr>
        <w:tc>
          <w:tcPr>
            <w:tcW w:type="dxa" w:w="5083"/>
            <w:vAlign w:val="top"/>
          </w:tcPr>
          <w:p>
            <w:r>
              <w:rPr>
                <w:sz w:val="16"/>
              </w:rPr>
              <w:t>Status</w:t>
            </w:r>
          </w:p>
        </w:tc>
        <w:tc>
          <w:tcPr>
            <w:tcW w:type="dxa" w:w="5083"/>
            <w:vAlign w:val="top"/>
          </w:tcPr>
          <w:p>
            <w:r>
              <w:t>Validation Candidate for Independent Review</w:t>
            </w:r>
          </w:p>
        </w:tc>
      </w:tr>
      <w:tr>
        <w:tc>
          <w:tcPr>
            <w:tcW w:type="dxa" w:w="5083"/>
            <w:vAlign w:val="top"/>
            <w:shd w:fill="F4F7FA"/>
          </w:tcPr>
          <w:p>
            <w:r>
              <w:rPr>
                <w:sz w:val="16"/>
              </w:rPr>
              <w:t>Author</w:t>
            </w:r>
          </w:p>
        </w:tc>
        <w:tc>
          <w:tcPr>
            <w:tcW w:type="dxa" w:w="5083"/>
            <w:vAlign w:val="top"/>
            <w:shd w:fill="F4F7FA"/>
          </w:tcPr>
          <w:p>
            <w:r>
              <w:rPr>
                <w:sz w:val="16"/>
              </w:rPr>
              <w:t>Siva Sethumadhavan</w:t>
            </w:r>
          </w:p>
        </w:tc>
      </w:tr>
      <w:tr>
        <w:tc>
          <w:tcPr>
            <w:tcW w:type="dxa" w:w="5083"/>
            <w:vAlign w:val="top"/>
          </w:tcPr>
          <w:p>
            <w:r>
              <w:rPr>
                <w:sz w:val="16"/>
              </w:rPr>
              <w:t>Canonical baseline</w:t>
            </w:r>
          </w:p>
        </w:tc>
        <w:tc>
          <w:tcPr>
            <w:tcW w:type="dxa" w:w="5083"/>
            <w:vAlign w:val="top"/>
          </w:tcPr>
          <w:p>
            <w:r>
              <w:rPr>
                <w:sz w:val="16"/>
              </w:rPr>
              <w:t>AIDCF-007A: 15 domains, 90 families and 360 controls</w:t>
            </w:r>
          </w:p>
        </w:tc>
      </w:tr>
      <w:tr>
        <w:tc>
          <w:tcPr>
            <w:tcW w:type="dxa" w:w="5083"/>
            <w:vAlign w:val="top"/>
            <w:shd w:fill="F4F7FA"/>
          </w:tcPr>
          <w:p>
            <w:r>
              <w:rPr>
                <w:sz w:val="16"/>
              </w:rPr>
              <w:t>Implementation status</w:t>
            </w:r>
          </w:p>
        </w:tc>
        <w:tc>
          <w:tcPr>
            <w:tcW w:type="dxa" w:w="5083"/>
            <w:vAlign w:val="top"/>
            <w:shd w:fill="F4F7FA"/>
          </w:tcPr>
          <w:p>
            <w:r>
              <w:rPr>
                <w:sz w:val="16"/>
              </w:rPr>
              <w:t>Synthetic, non-production reference implementation</w:t>
            </w:r>
          </w:p>
        </w:tc>
      </w:tr>
      <w:tr>
        <w:tc>
          <w:tcPr>
            <w:tcW w:type="dxa" w:w="5083"/>
            <w:vAlign w:val="top"/>
          </w:tcPr>
          <w:p>
            <w:r>
              <w:rPr>
                <w:sz w:val="16"/>
              </w:rPr>
              <w:t>Publication boundary</w:t>
            </w:r>
          </w:p>
        </w:tc>
        <w:tc>
          <w:tcPr>
            <w:tcW w:type="dxa" w:w="5083"/>
            <w:vAlign w:val="top"/>
          </w:tcPr>
          <w:p>
            <w:r>
              <w:rPr>
                <w:sz w:val="16"/>
              </w:rPr>
              <w:t>Research framework; not law, certification, accreditation, engineering approval or hazardous-test authorisation</w:t>
            </w:r>
          </w:p>
        </w:tc>
      </w:tr>
    </w:tbl>
    <w:p/>
    <w:tbl>
      <w:tblPr>
        <w:tblW w:type="auto" w:w="0"/>
        <w:tblLook w:firstColumn="1" w:firstRow="1" w:lastColumn="0" w:lastRow="0" w:noHBand="0" w:noVBand="1" w:val="04A0"/>
      </w:tblPr>
      <w:tblGrid>
        <w:gridCol w:w="10166"/>
      </w:tblGrid>
      <w:tr>
        <w:tc>
          <w:tcPr>
            <w:tcW w:type="dxa" w:w="10166"/>
            <w:shd w:fill="DCE6F1"/>
          </w:tcPr>
          <w:p>
            <w:r>
              <w:rPr>
                <w:b/>
              </w:rPr>
              <w:t>How to cite</w:t>
              <w:br/>
            </w:r>
            <w:r>
              <w:t>Sethumadhavan, S. AIDCF: AI Data Centre Facilities Assurance Framework. Technical Whitepaper v2.0, Public Review Draft, 2026. DOI to be assigned on public deposit.</w:t>
            </w:r>
          </w:p>
        </w:tc>
      </w:tr>
    </w:tbl>
    <w:p/>
    <w:p>
      <w:r/>
    </w:p>
    <w:p>
      <w:pPr>
        <w:pStyle w:val="Heading1"/>
      </w:pPr>
      <w:r>
        <w:t>Abstract</w:t>
      </w:r>
    </w:p>
    <w:p>
      <w:r>
        <w:t>Artificial intelligence workloads create a capability system that couples dense electrical demand, heat rejection, liquid and air cooling, accelerated compute, checkpoint storage, high-bandwidth fabrics, orchestration, control planes, operational teams and external providers. Established facility, technology, cybersecurity and AI-governance approaches address important parts of this landscape, but do not necessarily provide one end-to-end argument from a specific AI service outcome to infrastructure reality, credible failure, implemented safeguards, evidence and decision. AIDCF addresses this perceived integration gap.</w:t>
      </w:r>
    </w:p>
    <w:p>
      <w:r>
        <w:t>The framework defines a Capability Instance as the bounded subject of assurance and traces required Service Outcomes through functions, systems, assets, interfaces, dependencies, fault domains, operating states, failure paths, safeguards, controls, evidence, assessments, critical gates and accountable decisions. Its approved baseline contains fifteen domains, ninety control families and 360 controls. The method preserves UNKNOWN, separates intended, designed, installed, commissioned, observed and tested states, and prevents unrelated strengths or aggregate scores from overriding a controlling gate.</w:t>
      </w:r>
    </w:p>
    <w:p>
      <w:r>
        <w:t>Version 3.0 consolidates the AIDCF artifact stack into a coherent research narrative. It documents the development protocol, related-work boundaries, assurance theory, domain derivation, system-of-systems architecture, control and evidence models, assessment and gate logic, a machine-executable publication model and a complete synthetic worked case. It also separates approved baseline content from controlled-review drafts, synthetic demonstrations and proposed extensions. AIDCF remains a proposed research framework requiring independent review, real-world pilots, calibration and multi-site validation.</w:t>
      </w:r>
    </w:p>
    <w:p>
      <w:r/>
    </w:p>
    <w:p>
      <w:pPr>
        <w:pStyle w:val="Heading1"/>
      </w:pPr>
      <w:r>
        <w:t>Executive summary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Problem pattern</w:t>
            </w:r>
          </w:p>
        </w:tc>
        <w:tc>
          <w:tcPr>
            <w:tcW w:type="dxa" w:w="3389"/>
            <w:shd w:fill="17365D"/>
            <w:vAlign w:val="center"/>
          </w:tcPr>
          <w:p>
            <w:r>
              <w:rPr>
                <w:b/>
                <w:color w:val="FFFFFF"/>
                <w:sz w:val="15"/>
              </w:rPr>
              <w:t>AIDCF response</w:t>
            </w:r>
          </w:p>
        </w:tc>
        <w:tc>
          <w:tcPr>
            <w:tcW w:type="dxa" w:w="3389"/>
            <w:shd w:fill="17365D"/>
            <w:vAlign w:val="center"/>
          </w:tcPr>
          <w:p>
            <w:r>
              <w:rPr>
                <w:b/>
                <w:color w:val="FFFFFF"/>
                <w:sz w:val="15"/>
              </w:rPr>
              <w:t>Decision value</w:t>
            </w:r>
          </w:p>
        </w:tc>
      </w:tr>
      <w:tr>
        <w:tc>
          <w:tcPr>
            <w:tcW w:type="dxa" w:w="3389"/>
            <w:vAlign w:val="top"/>
          </w:tcPr>
          <w:p>
            <w:r>
              <w:rPr>
                <w:sz w:val="14"/>
              </w:rPr>
              <w:t>Facility and AI-platform reviews are disconnected</w:t>
            </w:r>
          </w:p>
        </w:tc>
        <w:tc>
          <w:tcPr>
            <w:tcW w:type="dxa" w:w="3389"/>
            <w:vAlign w:val="top"/>
          </w:tcPr>
          <w:p>
            <w:r>
              <w:rPr>
                <w:sz w:val="14"/>
              </w:rPr>
              <w:t>One capability chain links outcomes to power, thermal, compute, storage, network, operations and providers.</w:t>
            </w:r>
          </w:p>
        </w:tc>
        <w:tc>
          <w:tcPr>
            <w:tcW w:type="dxa" w:w="3389"/>
            <w:vAlign w:val="top"/>
          </w:tcPr>
          <w:p>
            <w:r>
              <w:rPr>
                <w:sz w:val="14"/>
              </w:rPr>
              <w:t>Exposes cross-domain dependencies and failure propagation.</w:t>
            </w:r>
          </w:p>
        </w:tc>
      </w:tr>
      <w:tr>
        <w:tc>
          <w:tcPr>
            <w:tcW w:type="dxa" w:w="3389"/>
            <w:vAlign w:val="top"/>
            <w:shd w:fill="F4F7FA"/>
          </w:tcPr>
          <w:p>
            <w:r>
              <w:rPr>
                <w:sz w:val="14"/>
              </w:rPr>
              <w:t>Design intent is confused with operating reality</w:t>
            </w:r>
          </w:p>
        </w:tc>
        <w:tc>
          <w:tcPr>
            <w:tcW w:type="dxa" w:w="3389"/>
            <w:vAlign w:val="top"/>
            <w:shd w:fill="F4F7FA"/>
          </w:tcPr>
          <w:p>
            <w:r>
              <w:rPr>
                <w:sz w:val="14"/>
              </w:rPr>
              <w:t>States are explicitly separated and evidence is assertion-specific.</w:t>
            </w:r>
          </w:p>
        </w:tc>
        <w:tc>
          <w:tcPr>
            <w:tcW w:type="dxa" w:w="3389"/>
            <w:vAlign w:val="top"/>
            <w:shd w:fill="F4F7FA"/>
          </w:tcPr>
          <w:p>
            <w:r>
              <w:rPr>
                <w:sz w:val="14"/>
              </w:rPr>
              <w:t>Restricts reliance to what was actually observed or tested.</w:t>
            </w:r>
          </w:p>
        </w:tc>
      </w:tr>
      <w:tr>
        <w:tc>
          <w:tcPr>
            <w:tcW w:type="dxa" w:w="3389"/>
            <w:vAlign w:val="top"/>
          </w:tcPr>
          <w:p>
            <w:r>
              <w:rPr>
                <w:sz w:val="14"/>
              </w:rPr>
              <w:t>Redundancy masks common mode</w:t>
            </w:r>
          </w:p>
        </w:tc>
        <w:tc>
          <w:tcPr>
            <w:tcW w:type="dxa" w:w="3389"/>
            <w:vAlign w:val="top"/>
          </w:tcPr>
          <w:p>
            <w:r>
              <w:rPr>
                <w:sz w:val="14"/>
              </w:rPr>
              <w:t>Dependencies, routes, controls, people and recovery resources are first-class.</w:t>
            </w:r>
          </w:p>
        </w:tc>
        <w:tc>
          <w:tcPr>
            <w:tcW w:type="dxa" w:w="3389"/>
            <w:vAlign w:val="top"/>
          </w:tcPr>
          <w:p>
            <w:r>
              <w:rPr>
                <w:sz w:val="14"/>
              </w:rPr>
              <w:t>Challenges superficial diversity claims.</w:t>
            </w:r>
          </w:p>
        </w:tc>
      </w:tr>
      <w:tr>
        <w:tc>
          <w:tcPr>
            <w:tcW w:type="dxa" w:w="3389"/>
            <w:vAlign w:val="top"/>
            <w:shd w:fill="F4F7FA"/>
          </w:tcPr>
          <w:p>
            <w:r>
              <w:rPr>
                <w:sz w:val="14"/>
              </w:rPr>
              <w:t>Missing evidence is forced into a score</w:t>
            </w:r>
          </w:p>
        </w:tc>
        <w:tc>
          <w:tcPr>
            <w:tcW w:type="dxa" w:w="3389"/>
            <w:vAlign w:val="top"/>
            <w:shd w:fill="F4F7FA"/>
          </w:tcPr>
          <w:p>
            <w:r>
              <w:rPr>
                <w:sz w:val="14"/>
              </w:rPr>
              <w:t>UNKNOWN is visible and non-favourable.</w:t>
            </w:r>
          </w:p>
        </w:tc>
        <w:tc>
          <w:tcPr>
            <w:tcW w:type="dxa" w:w="3389"/>
            <w:vAlign w:val="top"/>
            <w:shd w:fill="F4F7FA"/>
          </w:tcPr>
          <w:p>
            <w:r>
              <w:rPr>
                <w:sz w:val="14"/>
              </w:rPr>
              <w:t>Prevents false certainty.</w:t>
            </w:r>
          </w:p>
        </w:tc>
      </w:tr>
      <w:tr>
        <w:tc>
          <w:tcPr>
            <w:tcW w:type="dxa" w:w="3389"/>
            <w:vAlign w:val="top"/>
          </w:tcPr>
          <w:p>
            <w:r>
              <w:rPr>
                <w:sz w:val="14"/>
              </w:rPr>
              <w:t>Aggregate scores overwhelm critical failure</w:t>
            </w:r>
          </w:p>
        </w:tc>
        <w:tc>
          <w:tcPr>
            <w:tcW w:type="dxa" w:w="3389"/>
            <w:vAlign w:val="top"/>
          </w:tcPr>
          <w:p>
            <w:r>
              <w:rPr>
                <w:sz w:val="14"/>
              </w:rPr>
              <w:t>Critical gates are non-compensating.</w:t>
            </w:r>
          </w:p>
        </w:tc>
        <w:tc>
          <w:tcPr>
            <w:tcW w:type="dxa" w:w="3389"/>
            <w:vAlign w:val="top"/>
          </w:tcPr>
          <w:p>
            <w:r>
              <w:rPr>
                <w:sz w:val="14"/>
              </w:rPr>
              <w:t>Protects decision prerequisites.</w:t>
            </w:r>
          </w:p>
        </w:tc>
      </w:tr>
      <w:tr>
        <w:tc>
          <w:tcPr>
            <w:tcW w:type="dxa" w:w="3389"/>
            <w:vAlign w:val="top"/>
            <w:shd w:fill="F4F7FA"/>
          </w:tcPr>
          <w:p>
            <w:r>
              <w:rPr>
                <w:sz w:val="14"/>
              </w:rPr>
              <w:t>Automation silently exercises authority</w:t>
            </w:r>
          </w:p>
        </w:tc>
        <w:tc>
          <w:tcPr>
            <w:tcW w:type="dxa" w:w="3389"/>
            <w:vAlign w:val="top"/>
            <w:shd w:fill="F4F7FA"/>
          </w:tcPr>
          <w:p>
            <w:r>
              <w:rPr>
                <w:sz w:val="14"/>
              </w:rPr>
              <w:t>Tools validate and recommend; accountable people decide.</w:t>
            </w:r>
          </w:p>
        </w:tc>
        <w:tc>
          <w:tcPr>
            <w:tcW w:type="dxa" w:w="3389"/>
            <w:vAlign w:val="top"/>
            <w:shd w:fill="F4F7FA"/>
          </w:tcPr>
          <w:p>
            <w:r>
              <w:rPr>
                <w:sz w:val="14"/>
              </w:rPr>
              <w:t>Preserves governance and professional responsibility.</w:t>
            </w:r>
          </w:p>
        </w:tc>
      </w:tr>
    </w:tbl>
    <w:p/>
    <w:p>
      <w:r>
        <w:t>The paper does not claim that no adjacent method exists. It claims that the compared approaches leave a practical integration problem when a decision requires simultaneous reasoning across facility engineering, AI technology, operations, evidence and accountable assurance. This claim is a research proposition to be tested, not a settled conclusion.</w:t>
      </w:r>
    </w:p>
    <w:tbl>
      <w:tblPr>
        <w:tblW w:type="auto" w:w="0"/>
        <w:tblLook w:firstColumn="1" w:firstRow="1" w:lastColumn="0" w:lastRow="0" w:noHBand="0" w:noVBand="1" w:val="04A0"/>
      </w:tblPr>
      <w:tblGrid>
        <w:gridCol w:w="10166"/>
      </w:tblGrid>
      <w:tr>
        <w:tc>
          <w:tcPr>
            <w:tcW w:type="dxa" w:w="10166"/>
            <w:shd w:fill="DCE6F1"/>
          </w:tcPr>
          <w:p>
            <w:r>
              <w:rPr>
                <w:b/>
              </w:rPr>
              <w:t>Publication posture</w:t>
              <w:br/>
            </w:r>
            <w:r>
              <w:t>Public review draft. Suitable for expert critique, pilot recruitment and research timestamping. Not suitable for certification, accreditation, universal conformance claims or real-facility assurance.</w:t>
            </w:r>
          </w:p>
        </w:tc>
      </w:tr>
    </w:tbl>
    <w:p/>
    <w:p>
      <w:r/>
    </w:p>
    <w:p>
      <w:pPr>
        <w:pStyle w:val="Heading1"/>
      </w:pPr>
      <w:r>
        <w:t>1. Formal research problem</w:t>
      </w:r>
    </w:p>
    <w:p>
      <w:r>
        <w:t>The research problem is to determine whether a repeatable assurance method can reconstruct a bounded conclusion about a defined AI infrastructure capability from: service outcomes; architecture and dependencies; credible adverse conditions; effective safeguards; sufficient evidence; non-compensating prerequisites; competent review; and accountable decision authority.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Research question</w:t>
            </w:r>
          </w:p>
        </w:tc>
        <w:tc>
          <w:tcPr>
            <w:tcW w:type="dxa" w:w="3389"/>
            <w:shd w:fill="17365D"/>
            <w:vAlign w:val="center"/>
          </w:tcPr>
          <w:p>
            <w:r>
              <w:rPr>
                <w:b/>
                <w:color w:val="FFFFFF"/>
                <w:sz w:val="15"/>
              </w:rPr>
              <w:t>Proposition</w:t>
            </w:r>
          </w:p>
        </w:tc>
        <w:tc>
          <w:tcPr>
            <w:tcW w:type="dxa" w:w="3389"/>
            <w:shd w:fill="17365D"/>
            <w:vAlign w:val="center"/>
          </w:tcPr>
          <w:p>
            <w:r>
              <w:rPr>
                <w:b/>
                <w:color w:val="FFFFFF"/>
                <w:sz w:val="15"/>
              </w:rPr>
              <w:t>Empirical test</w:t>
            </w:r>
          </w:p>
        </w:tc>
      </w:tr>
      <w:tr>
        <w:tc>
          <w:tcPr>
            <w:tcW w:type="dxa" w:w="3389"/>
            <w:vAlign w:val="top"/>
          </w:tcPr>
          <w:p>
            <w:r>
              <w:rPr>
                <w:sz w:val="14"/>
              </w:rPr>
              <w:t>Can assessors define the same bounded subject?</w:t>
            </w:r>
          </w:p>
        </w:tc>
        <w:tc>
          <w:tcPr>
            <w:tcW w:type="dxa" w:w="3389"/>
            <w:vAlign w:val="top"/>
          </w:tcPr>
          <w:p>
            <w:r>
              <w:rPr>
                <w:sz w:val="14"/>
              </w:rPr>
              <w:t>Capability-first scoping reduces ambiguity.</w:t>
            </w:r>
          </w:p>
        </w:tc>
        <w:tc>
          <w:tcPr>
            <w:tcW w:type="dxa" w:w="3389"/>
            <w:vAlign w:val="top"/>
          </w:tcPr>
          <w:p>
            <w:r>
              <w:rPr>
                <w:sz w:val="14"/>
              </w:rPr>
              <w:t>Independent scoping and inter-rater agreement.</w:t>
            </w:r>
          </w:p>
        </w:tc>
      </w:tr>
      <w:tr>
        <w:tc>
          <w:tcPr>
            <w:tcW w:type="dxa" w:w="3389"/>
            <w:vAlign w:val="top"/>
            <w:shd w:fill="F4F7FA"/>
          </w:tcPr>
          <w:p>
            <w:r>
              <w:rPr>
                <w:sz w:val="14"/>
              </w:rPr>
              <w:t>Can facility and AI-platform layers be traced end to end?</w:t>
            </w:r>
          </w:p>
        </w:tc>
        <w:tc>
          <w:tcPr>
            <w:tcW w:type="dxa" w:w="3389"/>
            <w:vAlign w:val="top"/>
            <w:shd w:fill="F4F7FA"/>
          </w:tcPr>
          <w:p>
            <w:r>
              <w:rPr>
                <w:sz w:val="14"/>
              </w:rPr>
              <w:t>Canonical objects and relationships enable reconstruction.</w:t>
            </w:r>
          </w:p>
        </w:tc>
        <w:tc>
          <w:tcPr>
            <w:tcW w:type="dxa" w:w="3389"/>
            <w:vAlign w:val="top"/>
            <w:shd w:fill="F4F7FA"/>
          </w:tcPr>
          <w:p>
            <w:r>
              <w:rPr>
                <w:sz w:val="14"/>
              </w:rPr>
              <w:t>Graph completeness and reverse-trace tests.</w:t>
            </w:r>
          </w:p>
        </w:tc>
      </w:tr>
      <w:tr>
        <w:tc>
          <w:tcPr>
            <w:tcW w:type="dxa" w:w="3389"/>
            <w:vAlign w:val="top"/>
          </w:tcPr>
          <w:p>
            <w:r>
              <w:rPr>
                <w:sz w:val="14"/>
              </w:rPr>
              <w:t>Can hidden common modes be surfaced?</w:t>
            </w:r>
          </w:p>
        </w:tc>
        <w:tc>
          <w:tcPr>
            <w:tcW w:type="dxa" w:w="3389"/>
            <w:vAlign w:val="top"/>
          </w:tcPr>
          <w:p>
            <w:r>
              <w:rPr>
                <w:sz w:val="14"/>
              </w:rPr>
              <w:t>Dependency and fault-domain analysis improves discovery.</w:t>
            </w:r>
          </w:p>
        </w:tc>
        <w:tc>
          <w:tcPr>
            <w:tcW w:type="dxa" w:w="3389"/>
            <w:vAlign w:val="top"/>
          </w:tcPr>
          <w:p>
            <w:r>
              <w:rPr>
                <w:sz w:val="14"/>
              </w:rPr>
              <w:t>Compare findings against conventional domain reviews.</w:t>
            </w:r>
          </w:p>
        </w:tc>
      </w:tr>
      <w:tr>
        <w:tc>
          <w:tcPr>
            <w:tcW w:type="dxa" w:w="3389"/>
            <w:vAlign w:val="top"/>
            <w:shd w:fill="F4F7FA"/>
          </w:tcPr>
          <w:p>
            <w:r>
              <w:rPr>
                <w:sz w:val="14"/>
              </w:rPr>
              <w:t>Can score gaming be constrained?</w:t>
            </w:r>
          </w:p>
        </w:tc>
        <w:tc>
          <w:tcPr>
            <w:tcW w:type="dxa" w:w="3389"/>
            <w:vAlign w:val="top"/>
            <w:shd w:fill="F4F7FA"/>
          </w:tcPr>
          <w:p>
            <w:r>
              <w:rPr>
                <w:sz w:val="14"/>
              </w:rPr>
              <w:t>UNKNOWN and gates resist favourable denominator manipulation.</w:t>
            </w:r>
          </w:p>
        </w:tc>
        <w:tc>
          <w:tcPr>
            <w:tcW w:type="dxa" w:w="3389"/>
            <w:vAlign w:val="top"/>
            <w:shd w:fill="F4F7FA"/>
          </w:tcPr>
          <w:p>
            <w:r>
              <w:rPr>
                <w:sz w:val="14"/>
              </w:rPr>
              <w:t>Adversarial fixtures and re-performance.</w:t>
            </w:r>
          </w:p>
        </w:tc>
      </w:tr>
      <w:tr>
        <w:tc>
          <w:tcPr>
            <w:tcW w:type="dxa" w:w="3389"/>
            <w:vAlign w:val="top"/>
          </w:tcPr>
          <w:p>
            <w:r>
              <w:rPr>
                <w:sz w:val="14"/>
              </w:rPr>
              <w:t>Can decisions remain explainable after change?</w:t>
            </w:r>
          </w:p>
        </w:tc>
        <w:tc>
          <w:tcPr>
            <w:tcW w:type="dxa" w:w="3389"/>
            <w:vAlign w:val="top"/>
          </w:tcPr>
          <w:p>
            <w:r>
              <w:rPr>
                <w:sz w:val="14"/>
              </w:rPr>
              <w:t>Versioned identities and event impact support supersession.</w:t>
            </w:r>
          </w:p>
        </w:tc>
        <w:tc>
          <w:tcPr>
            <w:tcW w:type="dxa" w:w="3389"/>
            <w:vAlign w:val="top"/>
          </w:tcPr>
          <w:p>
            <w:r>
              <w:rPr>
                <w:sz w:val="14"/>
              </w:rPr>
              <w:t>Change-event and affected-decision tests.</w:t>
            </w:r>
          </w:p>
        </w:tc>
      </w:tr>
    </w:tbl>
    <w:p/>
    <w:p>
      <w:r/>
    </w:p>
    <w:p>
      <w:pPr>
        <w:pStyle w:val="Heading1"/>
      </w:pPr>
      <w:r>
        <w:t>2. Claimed contribution and novelty</w:t>
      </w:r>
    </w:p>
    <w:p>
      <w:r>
        <w:t>AIDCF does not claim novelty in power engineering, thermal engineering, systems reliability, cybersecurity, AI risk management, evidence management or assurance individually. Its claimed contribution is the disciplined integration of those elements around a bounded AI Capability Instance, with explicit graph traceability and decision constraints.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Contribution</w:t>
            </w:r>
          </w:p>
        </w:tc>
        <w:tc>
          <w:tcPr>
            <w:tcW w:type="dxa" w:w="3389"/>
            <w:shd w:fill="17365D"/>
            <w:vAlign w:val="center"/>
          </w:tcPr>
          <w:p>
            <w:r>
              <w:rPr>
                <w:b/>
                <w:color w:val="FFFFFF"/>
                <w:sz w:val="15"/>
              </w:rPr>
              <w:t>Distinctive element</w:t>
            </w:r>
          </w:p>
        </w:tc>
        <w:tc>
          <w:tcPr>
            <w:tcW w:type="dxa" w:w="3389"/>
            <w:shd w:fill="17365D"/>
            <w:vAlign w:val="center"/>
          </w:tcPr>
          <w:p>
            <w:r>
              <w:rPr>
                <w:b/>
                <w:color w:val="FFFFFF"/>
                <w:sz w:val="15"/>
              </w:rPr>
              <w:t>Current evidence status</w:t>
            </w:r>
          </w:p>
        </w:tc>
      </w:tr>
      <w:tr>
        <w:tc>
          <w:tcPr>
            <w:tcW w:type="dxa" w:w="3389"/>
            <w:vAlign w:val="top"/>
          </w:tcPr>
          <w:p>
            <w:r>
              <w:rPr>
                <w:sz w:val="14"/>
              </w:rPr>
              <w:t>Capability-centred assurance</w:t>
            </w:r>
          </w:p>
        </w:tc>
        <w:tc>
          <w:tcPr>
            <w:tcW w:type="dxa" w:w="3389"/>
            <w:vAlign w:val="top"/>
          </w:tcPr>
          <w:p>
            <w:r>
              <w:rPr>
                <w:sz w:val="14"/>
              </w:rPr>
              <w:t>Service Outcomes precede components and controls.</w:t>
            </w:r>
          </w:p>
        </w:tc>
        <w:tc>
          <w:tcPr>
            <w:tcW w:type="dxa" w:w="3389"/>
            <w:vAlign w:val="top"/>
          </w:tcPr>
          <w:p>
            <w:r>
              <w:rPr>
                <w:sz w:val="14"/>
              </w:rPr>
              <w:t>Conceptual and synthetic demonstration.</w:t>
            </w:r>
          </w:p>
        </w:tc>
      </w:tr>
      <w:tr>
        <w:tc>
          <w:tcPr>
            <w:tcW w:type="dxa" w:w="3389"/>
            <w:vAlign w:val="top"/>
            <w:shd w:fill="F4F7FA"/>
          </w:tcPr>
          <w:p>
            <w:r>
              <w:rPr>
                <w:sz w:val="14"/>
              </w:rPr>
              <w:t>Cross-domain failure reasoning</w:t>
            </w:r>
          </w:p>
        </w:tc>
        <w:tc>
          <w:tcPr>
            <w:tcW w:type="dxa" w:w="3389"/>
            <w:vAlign w:val="top"/>
            <w:shd w:fill="F4F7FA"/>
          </w:tcPr>
          <w:p>
            <w:r>
              <w:rPr>
                <w:sz w:val="14"/>
              </w:rPr>
              <w:t>Facility, technology, people and providers share one dependency graph.</w:t>
            </w:r>
          </w:p>
        </w:tc>
        <w:tc>
          <w:tcPr>
            <w:tcW w:type="dxa" w:w="3389"/>
            <w:vAlign w:val="top"/>
            <w:shd w:fill="F4F7FA"/>
          </w:tcPr>
          <w:p>
            <w:r>
              <w:rPr>
                <w:sz w:val="14"/>
              </w:rPr>
              <w:t>Scenario and architecture artifacts; real pilots pending.</w:t>
            </w:r>
          </w:p>
        </w:tc>
      </w:tr>
      <w:tr>
        <w:tc>
          <w:tcPr>
            <w:tcW w:type="dxa" w:w="3389"/>
            <w:vAlign w:val="top"/>
          </w:tcPr>
          <w:p>
            <w:r>
              <w:rPr>
                <w:sz w:val="14"/>
              </w:rPr>
              <w:t>Evidence-gated conclusion</w:t>
            </w:r>
          </w:p>
        </w:tc>
        <w:tc>
          <w:tcPr>
            <w:tcW w:type="dxa" w:w="3389"/>
            <w:vAlign w:val="top"/>
          </w:tcPr>
          <w:p>
            <w:r>
              <w:rPr>
                <w:sz w:val="14"/>
              </w:rPr>
              <w:t>Evidence quality and UNKNOWN are first-class objects.</w:t>
            </w:r>
          </w:p>
        </w:tc>
        <w:tc>
          <w:tcPr>
            <w:tcW w:type="dxa" w:w="3389"/>
            <w:vAlign w:val="top"/>
          </w:tcPr>
          <w:p>
            <w:r>
              <w:rPr>
                <w:sz w:val="14"/>
              </w:rPr>
              <w:t>Synthetic evidence fixtures.</w:t>
            </w:r>
          </w:p>
        </w:tc>
      </w:tr>
      <w:tr>
        <w:tc>
          <w:tcPr>
            <w:tcW w:type="dxa" w:w="3389"/>
            <w:vAlign w:val="top"/>
            <w:shd w:fill="F4F7FA"/>
          </w:tcPr>
          <w:p>
            <w:r>
              <w:rPr>
                <w:sz w:val="14"/>
              </w:rPr>
              <w:t>Gate-dominant decision</w:t>
            </w:r>
          </w:p>
        </w:tc>
        <w:tc>
          <w:tcPr>
            <w:tcW w:type="dxa" w:w="3389"/>
            <w:vAlign w:val="top"/>
            <w:shd w:fill="F4F7FA"/>
          </w:tcPr>
          <w:p>
            <w:r>
              <w:rPr>
                <w:sz w:val="14"/>
              </w:rPr>
              <w:t>Critical prerequisites remain separate from scores.</w:t>
            </w:r>
          </w:p>
        </w:tc>
        <w:tc>
          <w:tcPr>
            <w:tcW w:type="dxa" w:w="3389"/>
            <w:vAlign w:val="top"/>
            <w:shd w:fill="F4F7FA"/>
          </w:tcPr>
          <w:p>
            <w:r>
              <w:rPr>
                <w:sz w:val="14"/>
              </w:rPr>
              <w:t>Synthetic gate records and anti-gaming test.</w:t>
            </w:r>
          </w:p>
        </w:tc>
      </w:tr>
      <w:tr>
        <w:tc>
          <w:tcPr>
            <w:tcW w:type="dxa" w:w="3389"/>
            <w:vAlign w:val="top"/>
          </w:tcPr>
          <w:p>
            <w:r>
              <w:rPr>
                <w:sz w:val="14"/>
              </w:rPr>
              <w:t>Machine-executable lineage</w:t>
            </w:r>
          </w:p>
        </w:tc>
        <w:tc>
          <w:tcPr>
            <w:tcW w:type="dxa" w:w="3389"/>
            <w:vAlign w:val="top"/>
          </w:tcPr>
          <w:p>
            <w:r>
              <w:rPr>
                <w:sz w:val="14"/>
              </w:rPr>
              <w:t>Stable IDs, JSON Schema, JSON-LD, RDF/SHACL and manifests.</w:t>
            </w:r>
          </w:p>
        </w:tc>
        <w:tc>
          <w:tcPr>
            <w:tcW w:type="dxa" w:w="3389"/>
            <w:vAlign w:val="top"/>
          </w:tcPr>
          <w:p>
            <w:r>
              <w:rPr>
                <w:sz w:val="14"/>
              </w:rPr>
              <w:t>Reference package; independent runtime review pending.</w:t>
            </w:r>
          </w:p>
        </w:tc>
      </w:tr>
    </w:tbl>
    <w:p/>
    <w:p>
      <w:r/>
    </w:p>
    <w:p>
      <w:pPr>
        <w:pStyle w:val="Heading1"/>
      </w:pPr>
      <w:r>
        <w:t>3. Framework-development protocol</w:t>
      </w:r>
    </w:p>
    <w:p>
      <w:r>
        <w:t>The protocol below makes the construction process explicit. It is a retrospective methodological specification for future reproducible maintenance. A public source log, coding register and reviewer record remain required before the derivation can be considered independently reproducible.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Stage</w:t>
            </w:r>
          </w:p>
        </w:tc>
        <w:tc>
          <w:tcPr>
            <w:tcW w:type="dxa" w:w="3389"/>
            <w:shd w:fill="17365D"/>
            <w:vAlign w:val="center"/>
          </w:tcPr>
          <w:p>
            <w:r>
              <w:rPr>
                <w:b/>
                <w:color w:val="FFFFFF"/>
                <w:sz w:val="15"/>
              </w:rPr>
              <w:t>Procedure</w:t>
            </w:r>
          </w:p>
        </w:tc>
        <w:tc>
          <w:tcPr>
            <w:tcW w:type="dxa" w:w="3389"/>
            <w:shd w:fill="17365D"/>
            <w:vAlign w:val="center"/>
          </w:tcPr>
          <w:p>
            <w:r>
              <w:rPr>
                <w:b/>
                <w:color w:val="FFFFFF"/>
                <w:sz w:val="15"/>
              </w:rPr>
              <w:t>Required record</w:t>
            </w:r>
          </w:p>
        </w:tc>
      </w:tr>
      <w:tr>
        <w:tc>
          <w:tcPr>
            <w:tcW w:type="dxa" w:w="3389"/>
            <w:vAlign w:val="top"/>
          </w:tcPr>
          <w:p>
            <w:r>
              <w:rPr>
                <w:sz w:val="14"/>
              </w:rPr>
              <w:t>Corpus definition</w:t>
            </w:r>
          </w:p>
        </w:tc>
        <w:tc>
          <w:tcPr>
            <w:tcW w:type="dxa" w:w="3389"/>
            <w:vAlign w:val="top"/>
          </w:tcPr>
          <w:p>
            <w:r>
              <w:rPr>
                <w:sz w:val="14"/>
              </w:rPr>
              <w:t>List included standards, methods, reference architectures and AIDCF source artifacts by edition and scope.</w:t>
            </w:r>
          </w:p>
        </w:tc>
        <w:tc>
          <w:tcPr>
            <w:tcW w:type="dxa" w:w="3389"/>
            <w:vAlign w:val="top"/>
          </w:tcPr>
          <w:p>
            <w:r>
              <w:rPr>
                <w:sz w:val="14"/>
              </w:rPr>
              <w:t>Source register and inclusion rationale.</w:t>
            </w:r>
          </w:p>
        </w:tc>
      </w:tr>
      <w:tr>
        <w:tc>
          <w:tcPr>
            <w:tcW w:type="dxa" w:w="3389"/>
            <w:vAlign w:val="top"/>
            <w:shd w:fill="F4F7FA"/>
          </w:tcPr>
          <w:p>
            <w:r>
              <w:rPr>
                <w:sz w:val="14"/>
              </w:rPr>
              <w:t>Concept extraction</w:t>
            </w:r>
          </w:p>
        </w:tc>
        <w:tc>
          <w:tcPr>
            <w:tcW w:type="dxa" w:w="3389"/>
            <w:vAlign w:val="top"/>
            <w:shd w:fill="F4F7FA"/>
          </w:tcPr>
          <w:p>
            <w:r>
              <w:rPr>
                <w:sz w:val="14"/>
              </w:rPr>
              <w:t>Capture terms, objects, relationships, states, evidence and decision concepts.</w:t>
            </w:r>
          </w:p>
        </w:tc>
        <w:tc>
          <w:tcPr>
            <w:tcW w:type="dxa" w:w="3389"/>
            <w:vAlign w:val="top"/>
            <w:shd w:fill="F4F7FA"/>
          </w:tcPr>
          <w:p>
            <w:r>
              <w:rPr>
                <w:sz w:val="14"/>
              </w:rPr>
              <w:t>Extraction matrix with source reference.</w:t>
            </w:r>
          </w:p>
        </w:tc>
      </w:tr>
      <w:tr>
        <w:tc>
          <w:tcPr>
            <w:tcW w:type="dxa" w:w="3389"/>
            <w:vAlign w:val="top"/>
          </w:tcPr>
          <w:p>
            <w:r>
              <w:rPr>
                <w:sz w:val="14"/>
              </w:rPr>
              <w:t>Semantic normalization</w:t>
            </w:r>
          </w:p>
        </w:tc>
        <w:tc>
          <w:tcPr>
            <w:tcW w:type="dxa" w:w="3389"/>
            <w:vAlign w:val="top"/>
          </w:tcPr>
          <w:p>
            <w:r>
              <w:rPr>
                <w:sz w:val="14"/>
              </w:rPr>
              <w:t>Separate overloaded concepts such as hazard, cause, failure mode, effect, consequence, safeguard and control.</w:t>
            </w:r>
          </w:p>
        </w:tc>
        <w:tc>
          <w:tcPr>
            <w:tcW w:type="dxa" w:w="3389"/>
            <w:vAlign w:val="top"/>
          </w:tcPr>
          <w:p>
            <w:r>
              <w:rPr>
                <w:sz w:val="14"/>
              </w:rPr>
              <w:t>Terminology decision log.</w:t>
            </w:r>
          </w:p>
        </w:tc>
      </w:tr>
      <w:tr>
        <w:tc>
          <w:tcPr>
            <w:tcW w:type="dxa" w:w="3389"/>
            <w:vAlign w:val="top"/>
            <w:shd w:fill="F4F7FA"/>
          </w:tcPr>
          <w:p>
            <w:r>
              <w:rPr>
                <w:sz w:val="14"/>
              </w:rPr>
              <w:t>Domain clustering</w:t>
            </w:r>
          </w:p>
        </w:tc>
        <w:tc>
          <w:tcPr>
            <w:tcW w:type="dxa" w:w="3389"/>
            <w:vAlign w:val="top"/>
            <w:shd w:fill="F4F7FA"/>
          </w:tcPr>
          <w:p>
            <w:r>
              <w:rPr>
                <w:sz w:val="14"/>
              </w:rPr>
              <w:t>Group concepts using coverage, separability and traceability tests.</w:t>
            </w:r>
          </w:p>
        </w:tc>
        <w:tc>
          <w:tcPr>
            <w:tcW w:type="dxa" w:w="3389"/>
            <w:vAlign w:val="top"/>
            <w:shd w:fill="F4F7FA"/>
          </w:tcPr>
          <w:p>
            <w:r>
              <w:rPr>
                <w:sz w:val="14"/>
              </w:rPr>
              <w:t>Cluster matrix and rejected alternatives.</w:t>
            </w:r>
          </w:p>
        </w:tc>
      </w:tr>
      <w:tr>
        <w:tc>
          <w:tcPr>
            <w:tcW w:type="dxa" w:w="3389"/>
            <w:vAlign w:val="top"/>
          </w:tcPr>
          <w:p>
            <w:r>
              <w:rPr>
                <w:sz w:val="14"/>
              </w:rPr>
              <w:t>Control synthesis</w:t>
            </w:r>
          </w:p>
        </w:tc>
        <w:tc>
          <w:tcPr>
            <w:tcW w:type="dxa" w:w="3389"/>
            <w:vAlign w:val="top"/>
          </w:tcPr>
          <w:p>
            <w:r>
              <w:rPr>
                <w:sz w:val="14"/>
              </w:rPr>
              <w:t>Express outcome-linked, assessable requirements with evidence and failure mappings.</w:t>
            </w:r>
          </w:p>
        </w:tc>
        <w:tc>
          <w:tcPr>
            <w:tcW w:type="dxa" w:w="3389"/>
            <w:vAlign w:val="top"/>
          </w:tcPr>
          <w:p>
            <w:r>
              <w:rPr>
                <w:sz w:val="14"/>
              </w:rPr>
              <w:t>Control design record and duplicate review.</w:t>
            </w:r>
          </w:p>
        </w:tc>
      </w:tr>
      <w:tr>
        <w:tc>
          <w:tcPr>
            <w:tcW w:type="dxa" w:w="3389"/>
            <w:vAlign w:val="top"/>
            <w:shd w:fill="F4F7FA"/>
          </w:tcPr>
          <w:p>
            <w:r>
              <w:rPr>
                <w:sz w:val="14"/>
              </w:rPr>
              <w:t>Assurance design</w:t>
            </w:r>
          </w:p>
        </w:tc>
        <w:tc>
          <w:tcPr>
            <w:tcW w:type="dxa" w:w="3389"/>
            <w:vAlign w:val="top"/>
            <w:shd w:fill="F4F7FA"/>
          </w:tcPr>
          <w:p>
            <w:r>
              <w:rPr>
                <w:sz w:val="14"/>
              </w:rPr>
              <w:t>Define assessment states, UNKNOWN, gates, scores, decisions and reporting.</w:t>
            </w:r>
          </w:p>
        </w:tc>
        <w:tc>
          <w:tcPr>
            <w:tcW w:type="dxa" w:w="3389"/>
            <w:vAlign w:val="top"/>
            <w:shd w:fill="F4F7FA"/>
          </w:tcPr>
          <w:p>
            <w:r>
              <w:rPr>
                <w:sz w:val="14"/>
              </w:rPr>
              <w:t>Rule register and test cases.</w:t>
            </w:r>
          </w:p>
        </w:tc>
      </w:tr>
      <w:tr>
        <w:tc>
          <w:tcPr>
            <w:tcW w:type="dxa" w:w="3389"/>
            <w:vAlign w:val="top"/>
          </w:tcPr>
          <w:p>
            <w:r>
              <w:rPr>
                <w:sz w:val="14"/>
              </w:rPr>
              <w:t>Machine formalisation</w:t>
            </w:r>
          </w:p>
        </w:tc>
        <w:tc>
          <w:tcPr>
            <w:tcW w:type="dxa" w:w="3389"/>
            <w:vAlign w:val="top"/>
          </w:tcPr>
          <w:p>
            <w:r>
              <w:rPr>
                <w:sz w:val="14"/>
              </w:rPr>
              <w:t>Assign identifiers, schemas, graph shapes and conformance fixtures.</w:t>
            </w:r>
          </w:p>
        </w:tc>
        <w:tc>
          <w:tcPr>
            <w:tcW w:type="dxa" w:w="3389"/>
            <w:vAlign w:val="top"/>
          </w:tcPr>
          <w:p>
            <w:r>
              <w:rPr>
                <w:sz w:val="14"/>
              </w:rPr>
              <w:t>Release manifest and validation results.</w:t>
            </w:r>
          </w:p>
        </w:tc>
      </w:tr>
      <w:tr>
        <w:tc>
          <w:tcPr>
            <w:tcW w:type="dxa" w:w="3389"/>
            <w:vAlign w:val="top"/>
            <w:shd w:fill="F4F7FA"/>
          </w:tcPr>
          <w:p>
            <w:r>
              <w:rPr>
                <w:sz w:val="14"/>
              </w:rPr>
              <w:t>Challenge and approval</w:t>
            </w:r>
          </w:p>
        </w:tc>
        <w:tc>
          <w:tcPr>
            <w:tcW w:type="dxa" w:w="3389"/>
            <w:vAlign w:val="top"/>
            <w:shd w:fill="F4F7FA"/>
          </w:tcPr>
          <w:p>
            <w:r>
              <w:rPr>
                <w:sz w:val="14"/>
              </w:rPr>
              <w:t>Multidisciplinary peer review, disagreement resolution and independent challenge.</w:t>
            </w:r>
          </w:p>
        </w:tc>
        <w:tc>
          <w:tcPr>
            <w:tcW w:type="dxa" w:w="3389"/>
            <w:vAlign w:val="top"/>
            <w:shd w:fill="F4F7FA"/>
          </w:tcPr>
          <w:p>
            <w:r>
              <w:rPr>
                <w:sz w:val="14"/>
              </w:rPr>
              <w:t>Reviewer register, comments and dispositions.</w:t>
            </w:r>
          </w:p>
        </w:tc>
      </w:tr>
    </w:tbl>
    <w:p/>
    <w:p>
      <w:r/>
    </w:p>
    <w:p>
      <w:pPr>
        <w:pStyle w:val="Heading1"/>
      </w:pPr>
      <w:r>
        <w:t>4. Related work and comparative gap</w:t>
      </w:r>
    </w:p>
    <w:p>
      <w:r>
        <w:t>The comparison is directional and limited to cited public scope statements. It is not a clause-by-clause equivalence analysis. ISO/IEC 22237-1 describes general principles, common aspects, facilities and infrastructure classification, and operation and management references, while excluding selection and configuration of IT and network equipment [1]. The Uptime Tier Standard provides an objective basis for comparing site-infrastructure topology and differentiates four classifications [4]. ANSI/TIA-942-C specifies data-centre and computer-room infrastructure requirements and includes telecommunications, power, cooling, architecture, fire protection, safety and physical security [5]. NIST AI RMF 1.0 provides a voluntary AI risk-management framework organised around Govern, Map, Measure and Manage [2][3].</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Pr>
          <w:p>
            <w:r>
              <w:rPr>
                <w:b/>
                <w:color w:val="FFFFFF"/>
                <w:sz w:val="15"/>
              </w:rPr>
              <w:t>Approach</w:t>
            </w:r>
          </w:p>
        </w:tc>
        <w:tc>
          <w:tcPr>
            <w:tcW w:type="dxa" w:w="2541"/>
            <w:shd w:fill="17365D"/>
            <w:vAlign w:val="center"/>
          </w:tcPr>
          <w:p>
            <w:r>
              <w:rPr>
                <w:b/>
                <w:color w:val="FFFFFF"/>
                <w:sz w:val="15"/>
              </w:rPr>
              <w:t>Primary public scope</w:t>
            </w:r>
          </w:p>
        </w:tc>
        <w:tc>
          <w:tcPr>
            <w:tcW w:type="dxa" w:w="2541"/>
            <w:shd w:fill="17365D"/>
            <w:vAlign w:val="center"/>
          </w:tcPr>
          <w:p>
            <w:r>
              <w:rPr>
                <w:b/>
                <w:color w:val="FFFFFF"/>
                <w:sz w:val="15"/>
              </w:rPr>
              <w:t>Integration gap AIDCF addresses</w:t>
            </w:r>
          </w:p>
        </w:tc>
        <w:tc>
          <w:tcPr>
            <w:tcW w:type="dxa" w:w="2541"/>
            <w:shd w:fill="17365D"/>
            <w:vAlign w:val="center"/>
          </w:tcPr>
          <w:p>
            <w:r>
              <w:rPr>
                <w:b/>
                <w:color w:val="FFFFFF"/>
                <w:sz w:val="15"/>
              </w:rPr>
              <w:t>No equivalence claim</w:t>
            </w:r>
          </w:p>
        </w:tc>
      </w:tr>
      <w:tr>
        <w:tc>
          <w:tcPr>
            <w:tcW w:type="dxa" w:w="2541"/>
            <w:vAlign w:val="top"/>
          </w:tcPr>
          <w:p>
            <w:r>
              <w:rPr>
                <w:sz w:val="14"/>
              </w:rPr>
              <w:t>ISO/IEC 22237</w:t>
            </w:r>
          </w:p>
        </w:tc>
        <w:tc>
          <w:tcPr>
            <w:tcW w:type="dxa" w:w="2541"/>
            <w:vAlign w:val="top"/>
          </w:tcPr>
          <w:p>
            <w:r>
              <w:rPr>
                <w:sz w:val="14"/>
              </w:rPr>
              <w:t>Data-centre facility and infrastructure concepts, classes and management references.</w:t>
            </w:r>
          </w:p>
        </w:tc>
        <w:tc>
          <w:tcPr>
            <w:tcW w:type="dxa" w:w="2541"/>
            <w:vAlign w:val="top"/>
          </w:tcPr>
          <w:p>
            <w:r>
              <w:rPr>
                <w:sz w:val="14"/>
              </w:rPr>
              <w:t>Connection to configured AI compute, storage, fabrics and service outcomes.</w:t>
            </w:r>
          </w:p>
        </w:tc>
        <w:tc>
          <w:tcPr>
            <w:tcW w:type="dxa" w:w="2541"/>
            <w:vAlign w:val="top"/>
          </w:tcPr>
          <w:p>
            <w:r>
              <w:rPr>
                <w:sz w:val="14"/>
              </w:rPr>
              <w:t>AIDCF does not claim ISO conformity.</w:t>
            </w:r>
          </w:p>
        </w:tc>
      </w:tr>
      <w:tr>
        <w:tc>
          <w:tcPr>
            <w:tcW w:type="dxa" w:w="2541"/>
            <w:vAlign w:val="top"/>
            <w:shd w:fill="F4F7FA"/>
          </w:tcPr>
          <w:p>
            <w:r>
              <w:rPr>
                <w:sz w:val="14"/>
              </w:rPr>
              <w:t>Uptime Tier topology</w:t>
            </w:r>
          </w:p>
        </w:tc>
        <w:tc>
          <w:tcPr>
            <w:tcW w:type="dxa" w:w="2541"/>
            <w:vAlign w:val="top"/>
            <w:shd w:fill="F4F7FA"/>
          </w:tcPr>
          <w:p>
            <w:r>
              <w:rPr>
                <w:sz w:val="14"/>
              </w:rPr>
              <w:t>Site-infrastructure functionality, capacity and expected availability by topology.</w:t>
            </w:r>
          </w:p>
        </w:tc>
        <w:tc>
          <w:tcPr>
            <w:tcW w:type="dxa" w:w="2541"/>
            <w:vAlign w:val="top"/>
            <w:shd w:fill="F4F7FA"/>
          </w:tcPr>
          <w:p>
            <w:r>
              <w:rPr>
                <w:sz w:val="14"/>
              </w:rPr>
              <w:t>Capability-specific workload, data, fabric, control-plane and evidence reasoning.</w:t>
            </w:r>
          </w:p>
        </w:tc>
        <w:tc>
          <w:tcPr>
            <w:tcW w:type="dxa" w:w="2541"/>
            <w:vAlign w:val="top"/>
            <w:shd w:fill="F4F7FA"/>
          </w:tcPr>
          <w:p>
            <w:r>
              <w:rPr>
                <w:sz w:val="14"/>
              </w:rPr>
              <w:t>Tier evidence is bounded design evidence.</w:t>
            </w:r>
          </w:p>
        </w:tc>
      </w:tr>
      <w:tr>
        <w:tc>
          <w:tcPr>
            <w:tcW w:type="dxa" w:w="2541"/>
            <w:vAlign w:val="top"/>
          </w:tcPr>
          <w:p>
            <w:r>
              <w:rPr>
                <w:sz w:val="14"/>
              </w:rPr>
              <w:t>ANSI/TIA-942-C</w:t>
            </w:r>
          </w:p>
        </w:tc>
        <w:tc>
          <w:tcPr>
            <w:tcW w:type="dxa" w:w="2541"/>
            <w:vAlign w:val="top"/>
          </w:tcPr>
          <w:p>
            <w:r>
              <w:rPr>
                <w:sz w:val="14"/>
              </w:rPr>
              <w:t>Physical infrastructure requirements across multiple disciplines.</w:t>
            </w:r>
          </w:p>
        </w:tc>
        <w:tc>
          <w:tcPr>
            <w:tcW w:type="dxa" w:w="2541"/>
            <w:vAlign w:val="top"/>
          </w:tcPr>
          <w:p>
            <w:r>
              <w:rPr>
                <w:sz w:val="14"/>
              </w:rPr>
              <w:t>One assurance argument from AI outcome to operational evidence and decision.</w:t>
            </w:r>
          </w:p>
        </w:tc>
        <w:tc>
          <w:tcPr>
            <w:tcW w:type="dxa" w:w="2541"/>
            <w:vAlign w:val="top"/>
          </w:tcPr>
          <w:p>
            <w:r>
              <w:rPr>
                <w:sz w:val="14"/>
              </w:rPr>
              <w:t>AIDCF does not certify TIA-942.</w:t>
            </w:r>
          </w:p>
        </w:tc>
      </w:tr>
      <w:tr>
        <w:tc>
          <w:tcPr>
            <w:tcW w:type="dxa" w:w="2541"/>
            <w:vAlign w:val="top"/>
            <w:shd w:fill="F4F7FA"/>
          </w:tcPr>
          <w:p>
            <w:r>
              <w:rPr>
                <w:sz w:val="14"/>
              </w:rPr>
              <w:t>NIST AI RMF</w:t>
            </w:r>
          </w:p>
        </w:tc>
        <w:tc>
          <w:tcPr>
            <w:tcW w:type="dxa" w:w="2541"/>
            <w:vAlign w:val="top"/>
            <w:shd w:fill="F4F7FA"/>
          </w:tcPr>
          <w:p>
            <w:r>
              <w:rPr>
                <w:sz w:val="14"/>
              </w:rPr>
              <w:t>Voluntary management of AI risk and trustworthiness.</w:t>
            </w:r>
          </w:p>
        </w:tc>
        <w:tc>
          <w:tcPr>
            <w:tcW w:type="dxa" w:w="2541"/>
            <w:vAlign w:val="top"/>
            <w:shd w:fill="F4F7FA"/>
          </w:tcPr>
          <w:p>
            <w:r>
              <w:rPr>
                <w:sz w:val="14"/>
              </w:rPr>
              <w:t>Physical and infrastructure assurance below the AI system.</w:t>
            </w:r>
          </w:p>
        </w:tc>
        <w:tc>
          <w:tcPr>
            <w:tcW w:type="dxa" w:w="2541"/>
            <w:vAlign w:val="top"/>
            <w:shd w:fill="F4F7FA"/>
          </w:tcPr>
          <w:p>
            <w:r>
              <w:rPr>
                <w:sz w:val="14"/>
              </w:rPr>
              <w:t>AIDCF is complementary, not a profile of NIST AI RMF.</w:t>
            </w:r>
          </w:p>
        </w:tc>
      </w:tr>
      <w:tr>
        <w:tc>
          <w:tcPr>
            <w:tcW w:type="dxa" w:w="2541"/>
            <w:vAlign w:val="top"/>
          </w:tcPr>
          <w:p>
            <w:r>
              <w:rPr>
                <w:sz w:val="14"/>
              </w:rPr>
              <w:t>AITG</w:t>
            </w:r>
          </w:p>
        </w:tc>
        <w:tc>
          <w:tcPr>
            <w:tcW w:type="dxa" w:w="2541"/>
            <w:vAlign w:val="top"/>
          </w:tcPr>
          <w:p>
            <w:r>
              <w:rPr>
                <w:sz w:val="14"/>
              </w:rPr>
              <w:t>Trust, authority and exposure reasoning.</w:t>
            </w:r>
          </w:p>
        </w:tc>
        <w:tc>
          <w:tcPr>
            <w:tcW w:type="dxa" w:w="2541"/>
            <w:vAlign w:val="top"/>
          </w:tcPr>
          <w:p>
            <w:r>
              <w:rPr>
                <w:sz w:val="14"/>
              </w:rPr>
              <w:t>Infrastructure reality and physical failure paths.</w:t>
            </w:r>
          </w:p>
        </w:tc>
        <w:tc>
          <w:tcPr>
            <w:tcW w:type="dxa" w:w="2541"/>
            <w:vAlign w:val="top"/>
          </w:tcPr>
          <w:p>
            <w:r>
              <w:rPr>
                <w:sz w:val="14"/>
              </w:rPr>
              <w:t>Federate decisions; do not merge methods.</w:t>
            </w:r>
          </w:p>
        </w:tc>
      </w:tr>
    </w:tbl>
    <w:p/>
    <w:p>
      <w:r/>
    </w:p>
    <w:p>
      <w:pPr>
        <w:pStyle w:val="Heading1"/>
      </w:pPr>
      <w:r>
        <w:t>5. Assurance theory</w:t>
      </w:r>
    </w:p>
    <w:p>
      <w:r>
        <w:t>AIDCF defines assurance as bounded confidence in a proposition about a specific capability, for identified users and intended use, within a declared boundary, operating states and period. Assurance is not the inventory of controls, a maturity score or a topology label.</w:t>
      </w:r>
    </w:p>
    <w:p>
      <w:pPr>
        <w:jc w:val="center"/>
      </w:pPr>
      <w:r/>
    </w:p>
    <w:p>
      <w:pPr>
        <w:pStyle w:val="Caption"/>
        <w:jc w:val="center"/>
      </w:pPr>
      <w:r>
        <w:t>Figure 2. Forward assurance construction and reverse reconstruction.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Proposition layer</w:t>
            </w:r>
          </w:p>
        </w:tc>
        <w:tc>
          <w:tcPr>
            <w:tcW w:type="dxa" w:w="5083"/>
            <w:shd w:fill="17365D"/>
            <w:vAlign w:val="center"/>
          </w:tcPr>
          <w:p>
            <w:r>
              <w:rPr>
                <w:b/>
                <w:color w:val="FFFFFF"/>
                <w:sz w:val="15"/>
              </w:rPr>
              <w:t>Question</w:t>
            </w:r>
          </w:p>
        </w:tc>
      </w:tr>
      <w:tr>
        <w:tc>
          <w:tcPr>
            <w:tcW w:type="dxa" w:w="5083"/>
            <w:vAlign w:val="top"/>
          </w:tcPr>
          <w:p>
            <w:r>
              <w:rPr>
                <w:sz w:val="14"/>
              </w:rPr>
              <w:t>Outcome</w:t>
            </w:r>
          </w:p>
        </w:tc>
        <w:tc>
          <w:tcPr>
            <w:tcW w:type="dxa" w:w="5083"/>
            <w:vAlign w:val="top"/>
          </w:tcPr>
          <w:p>
            <w:r>
              <w:rPr>
                <w:sz w:val="14"/>
              </w:rPr>
              <w:t>What must the capability achieve, within what tolerance?</w:t>
            </w:r>
          </w:p>
        </w:tc>
      </w:tr>
      <w:tr>
        <w:tc>
          <w:tcPr>
            <w:tcW w:type="dxa" w:w="5083"/>
            <w:vAlign w:val="top"/>
            <w:shd w:fill="F4F7FA"/>
          </w:tcPr>
          <w:p>
            <w:r>
              <w:rPr>
                <w:sz w:val="14"/>
              </w:rPr>
              <w:t>Architecture</w:t>
            </w:r>
          </w:p>
        </w:tc>
        <w:tc>
          <w:tcPr>
            <w:tcW w:type="dxa" w:w="5083"/>
            <w:vAlign w:val="top"/>
            <w:shd w:fill="F4F7FA"/>
          </w:tcPr>
          <w:p>
            <w:r>
              <w:rPr>
                <w:sz w:val="14"/>
              </w:rPr>
              <w:t>Which systems, interfaces and resources implement that result?</w:t>
            </w:r>
          </w:p>
        </w:tc>
      </w:tr>
      <w:tr>
        <w:tc>
          <w:tcPr>
            <w:tcW w:type="dxa" w:w="5083"/>
            <w:vAlign w:val="top"/>
          </w:tcPr>
          <w:p>
            <w:r>
              <w:rPr>
                <w:sz w:val="14"/>
              </w:rPr>
              <w:t>Dependency</w:t>
            </w:r>
          </w:p>
        </w:tc>
        <w:tc>
          <w:tcPr>
            <w:tcW w:type="dxa" w:w="5083"/>
            <w:vAlign w:val="top"/>
          </w:tcPr>
          <w:p>
            <w:r>
              <w:rPr>
                <w:sz w:val="14"/>
              </w:rPr>
              <w:t>What internal, shared, external or recovery-only reliance exists?</w:t>
            </w:r>
          </w:p>
        </w:tc>
      </w:tr>
      <w:tr>
        <w:tc>
          <w:tcPr>
            <w:tcW w:type="dxa" w:w="5083"/>
            <w:vAlign w:val="top"/>
            <w:shd w:fill="F4F7FA"/>
          </w:tcPr>
          <w:p>
            <w:r>
              <w:rPr>
                <w:sz w:val="14"/>
              </w:rPr>
              <w:t>Failure</w:t>
            </w:r>
          </w:p>
        </w:tc>
        <w:tc>
          <w:tcPr>
            <w:tcW w:type="dxa" w:w="5083"/>
            <w:vAlign w:val="top"/>
            <w:shd w:fill="F4F7FA"/>
          </w:tcPr>
          <w:p>
            <w:r>
              <w:rPr>
                <w:sz w:val="14"/>
              </w:rPr>
              <w:t>How can the outcome be degraded or lost?</w:t>
            </w:r>
          </w:p>
        </w:tc>
      </w:tr>
      <w:tr>
        <w:tc>
          <w:tcPr>
            <w:tcW w:type="dxa" w:w="5083"/>
            <w:vAlign w:val="top"/>
          </w:tcPr>
          <w:p>
            <w:r>
              <w:rPr>
                <w:sz w:val="14"/>
              </w:rPr>
              <w:t>Safeguard</w:t>
            </w:r>
          </w:p>
        </w:tc>
        <w:tc>
          <w:tcPr>
            <w:tcW w:type="dxa" w:w="5083"/>
            <w:vAlign w:val="top"/>
          </w:tcPr>
          <w:p>
            <w:r>
              <w:rPr>
                <w:sz w:val="14"/>
              </w:rPr>
              <w:t>What prevents, detects, contains, recovers or adapts?</w:t>
            </w:r>
          </w:p>
        </w:tc>
      </w:tr>
      <w:tr>
        <w:tc>
          <w:tcPr>
            <w:tcW w:type="dxa" w:w="5083"/>
            <w:vAlign w:val="top"/>
            <w:shd w:fill="F4F7FA"/>
          </w:tcPr>
          <w:p>
            <w:r>
              <w:rPr>
                <w:sz w:val="14"/>
              </w:rPr>
              <w:t>Evidence</w:t>
            </w:r>
          </w:p>
        </w:tc>
        <w:tc>
          <w:tcPr>
            <w:tcW w:type="dxa" w:w="5083"/>
            <w:vAlign w:val="top"/>
            <w:shd w:fill="F4F7FA"/>
          </w:tcPr>
          <w:p>
            <w:r>
              <w:rPr>
                <w:sz w:val="14"/>
              </w:rPr>
              <w:t>What supports or challenges each assertion?</w:t>
            </w:r>
          </w:p>
        </w:tc>
      </w:tr>
      <w:tr>
        <w:tc>
          <w:tcPr>
            <w:tcW w:type="dxa" w:w="5083"/>
            <w:vAlign w:val="top"/>
          </w:tcPr>
          <w:p>
            <w:r>
              <w:rPr>
                <w:sz w:val="14"/>
              </w:rPr>
              <w:t>Gate</w:t>
            </w:r>
          </w:p>
        </w:tc>
        <w:tc>
          <w:tcPr>
            <w:tcW w:type="dxa" w:w="5083"/>
            <w:vAlign w:val="top"/>
          </w:tcPr>
          <w:p>
            <w:r>
              <w:rPr>
                <w:sz w:val="14"/>
              </w:rPr>
              <w:t>Which prerequisite cannot be compensated?</w:t>
            </w:r>
          </w:p>
        </w:tc>
      </w:tr>
      <w:tr>
        <w:tc>
          <w:tcPr>
            <w:tcW w:type="dxa" w:w="5083"/>
            <w:vAlign w:val="top"/>
            <w:shd w:fill="F4F7FA"/>
          </w:tcPr>
          <w:p>
            <w:r>
              <w:rPr>
                <w:sz w:val="14"/>
              </w:rPr>
              <w:t>Decision</w:t>
            </w:r>
          </w:p>
        </w:tc>
        <w:tc>
          <w:tcPr>
            <w:tcW w:type="dxa" w:w="5083"/>
            <w:vAlign w:val="top"/>
            <w:shd w:fill="F4F7FA"/>
          </w:tcPr>
          <w:p>
            <w:r>
              <w:rPr>
                <w:sz w:val="14"/>
              </w:rPr>
              <w:t>What reliance is permitted, for whom and for how long?</w:t>
            </w:r>
          </w:p>
        </w:tc>
      </w:tr>
    </w:tbl>
    <w:p/>
    <w:tbl>
      <w:tblPr>
        <w:tblW w:type="auto" w:w="0"/>
        <w:tblLook w:firstColumn="1" w:firstRow="1" w:lastColumn="0" w:lastRow="0" w:noHBand="0" w:noVBand="1" w:val="04A0"/>
      </w:tblPr>
      <w:tblGrid>
        <w:gridCol w:w="10166"/>
      </w:tblGrid>
      <w:tr>
        <w:tc>
          <w:tcPr>
            <w:tcW w:type="dxa" w:w="10166"/>
            <w:shd w:fill="DCE6F1"/>
          </w:tcPr>
          <w:p>
            <w:r>
              <w:rPr>
                <w:b/>
              </w:rPr>
              <w:t>Conceptual expression</w:t>
              <w:br/>
            </w:r>
            <w:r>
              <w:t>Bounded Assurance = f(Outcome Definition, Architecture and Dependency Confidence, Safeguard Effectiveness, Evidence Confidence, Gate State, Review Quality, Decision Authority). This is a dependency expression, not a numeric multiplication formula.</w:t>
            </w:r>
          </w:p>
        </w:tc>
      </w:tr>
    </w:tbl>
    <w:p/>
    <w:p>
      <w:r/>
    </w:p>
    <w:p>
      <w:pPr>
        <w:pStyle w:val="Heading1"/>
      </w:pPr>
      <w:r>
        <w:t>6. Canonical terminology and acronyms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Term</w:t>
            </w:r>
          </w:p>
        </w:tc>
        <w:tc>
          <w:tcPr>
            <w:tcW w:type="dxa" w:w="5083"/>
            <w:shd w:fill="17365D"/>
            <w:vAlign w:val="center"/>
          </w:tcPr>
          <w:p>
            <w:r>
              <w:rPr>
                <w:b/>
                <w:color w:val="FFFFFF"/>
                <w:sz w:val="15"/>
              </w:rPr>
              <w:t>Canonical meaning</w:t>
            </w:r>
          </w:p>
        </w:tc>
      </w:tr>
      <w:tr>
        <w:tc>
          <w:tcPr>
            <w:tcW w:type="dxa" w:w="5083"/>
            <w:vAlign w:val="top"/>
          </w:tcPr>
          <w:p>
            <w:r>
              <w:rPr>
                <w:sz w:val="14"/>
              </w:rPr>
              <w:t>Capability Instance</w:t>
            </w:r>
          </w:p>
        </w:tc>
        <w:tc>
          <w:tcPr>
            <w:tcW w:type="dxa" w:w="5083"/>
            <w:vAlign w:val="top"/>
          </w:tcPr>
          <w:p>
            <w:r>
              <w:rPr>
                <w:sz w:val="14"/>
              </w:rPr>
              <w:t>A specific deployment bounded by owner, location, architecture, demand, criticality, service requirements and obligations.</w:t>
            </w:r>
          </w:p>
        </w:tc>
      </w:tr>
      <w:tr>
        <w:tc>
          <w:tcPr>
            <w:tcW w:type="dxa" w:w="5083"/>
            <w:vAlign w:val="top"/>
            <w:shd w:fill="F4F7FA"/>
          </w:tcPr>
          <w:p>
            <w:r>
              <w:rPr>
                <w:sz w:val="14"/>
              </w:rPr>
              <w:t>Service Outcome</w:t>
            </w:r>
          </w:p>
        </w:tc>
        <w:tc>
          <w:tcPr>
            <w:tcW w:type="dxa" w:w="5083"/>
            <w:vAlign w:val="top"/>
            <w:shd w:fill="F4F7FA"/>
          </w:tcPr>
          <w:p>
            <w:r>
              <w:rPr>
                <w:sz w:val="14"/>
              </w:rPr>
              <w:t>A measurable availability, performance, integrity, recovery or restraint condition.</w:t>
            </w:r>
          </w:p>
        </w:tc>
      </w:tr>
      <w:tr>
        <w:tc>
          <w:tcPr>
            <w:tcW w:type="dxa" w:w="5083"/>
            <w:vAlign w:val="top"/>
          </w:tcPr>
          <w:p>
            <w:r>
              <w:rPr>
                <w:sz w:val="14"/>
              </w:rPr>
              <w:t>Critical Function</w:t>
            </w:r>
          </w:p>
        </w:tc>
        <w:tc>
          <w:tcPr>
            <w:tcW w:type="dxa" w:w="5083"/>
            <w:vAlign w:val="top"/>
          </w:tcPr>
          <w:p>
            <w:r>
              <w:rPr>
                <w:sz w:val="14"/>
              </w:rPr>
              <w:t>A function whose degradation materially affects a Service Outcome.</w:t>
            </w:r>
          </w:p>
        </w:tc>
      </w:tr>
      <w:tr>
        <w:tc>
          <w:tcPr>
            <w:tcW w:type="dxa" w:w="5083"/>
            <w:vAlign w:val="top"/>
            <w:shd w:fill="F4F7FA"/>
          </w:tcPr>
          <w:p>
            <w:r>
              <w:rPr>
                <w:sz w:val="14"/>
              </w:rPr>
              <w:t>Dependency</w:t>
            </w:r>
          </w:p>
        </w:tc>
        <w:tc>
          <w:tcPr>
            <w:tcW w:type="dxa" w:w="5083"/>
            <w:vAlign w:val="top"/>
            <w:shd w:fill="F4F7FA"/>
          </w:tcPr>
          <w:p>
            <w:r>
              <w:rPr>
                <w:sz w:val="14"/>
              </w:rPr>
              <w:t>Reliance on an entity, resource, condition, provider, person or decision.</w:t>
            </w:r>
          </w:p>
        </w:tc>
      </w:tr>
      <w:tr>
        <w:tc>
          <w:tcPr>
            <w:tcW w:type="dxa" w:w="5083"/>
            <w:vAlign w:val="top"/>
          </w:tcPr>
          <w:p>
            <w:r>
              <w:rPr>
                <w:sz w:val="14"/>
              </w:rPr>
              <w:t>Fault Domain</w:t>
            </w:r>
          </w:p>
        </w:tc>
        <w:tc>
          <w:tcPr>
            <w:tcW w:type="dxa" w:w="5083"/>
            <w:vAlign w:val="top"/>
          </w:tcPr>
          <w:p>
            <w:r>
              <w:rPr>
                <w:sz w:val="14"/>
              </w:rPr>
              <w:t>Objects expected to be affected by the same failure.</w:t>
            </w:r>
          </w:p>
        </w:tc>
      </w:tr>
      <w:tr>
        <w:tc>
          <w:tcPr>
            <w:tcW w:type="dxa" w:w="5083"/>
            <w:vAlign w:val="top"/>
            <w:shd w:fill="F4F7FA"/>
          </w:tcPr>
          <w:p>
            <w:r>
              <w:rPr>
                <w:sz w:val="14"/>
              </w:rPr>
              <w:t>Failure Scenario</w:t>
            </w:r>
          </w:p>
        </w:tc>
        <w:tc>
          <w:tcPr>
            <w:tcW w:type="dxa" w:w="5083"/>
            <w:vAlign w:val="top"/>
            <w:shd w:fill="F4F7FA"/>
          </w:tcPr>
          <w:p>
            <w:r>
              <w:rPr>
                <w:sz w:val="14"/>
              </w:rPr>
              <w:t>Initiating condition through propagation, consequence, safeguards and recovery.</w:t>
            </w:r>
          </w:p>
        </w:tc>
      </w:tr>
      <w:tr>
        <w:tc>
          <w:tcPr>
            <w:tcW w:type="dxa" w:w="5083"/>
            <w:vAlign w:val="top"/>
          </w:tcPr>
          <w:p>
            <w:r>
              <w:rPr>
                <w:sz w:val="14"/>
              </w:rPr>
              <w:t>Evidence Object</w:t>
            </w:r>
          </w:p>
        </w:tc>
        <w:tc>
          <w:tcPr>
            <w:tcW w:type="dxa" w:w="5083"/>
            <w:vAlign w:val="top"/>
          </w:tcPr>
          <w:p>
            <w:r>
              <w:rPr>
                <w:sz w:val="14"/>
              </w:rPr>
              <w:t>Controlled item supporting, challenging or qualifying an assertion.</w:t>
            </w:r>
          </w:p>
        </w:tc>
      </w:tr>
      <w:tr>
        <w:tc>
          <w:tcPr>
            <w:tcW w:type="dxa" w:w="5083"/>
            <w:vAlign w:val="top"/>
            <w:shd w:fill="F4F7FA"/>
          </w:tcPr>
          <w:p>
            <w:r>
              <w:rPr>
                <w:sz w:val="14"/>
              </w:rPr>
              <w:t>Critical Gate</w:t>
            </w:r>
          </w:p>
        </w:tc>
        <w:tc>
          <w:tcPr>
            <w:tcW w:type="dxa" w:w="5083"/>
            <w:vAlign w:val="top"/>
            <w:shd w:fill="F4F7FA"/>
          </w:tcPr>
          <w:p>
            <w:r>
              <w:rPr>
                <w:sz w:val="14"/>
              </w:rPr>
              <w:t>Non-compensating prerequisite constraining an Assurance Decision.</w:t>
            </w:r>
          </w:p>
        </w:tc>
      </w:tr>
      <w:tr>
        <w:tc>
          <w:tcPr>
            <w:tcW w:type="dxa" w:w="5083"/>
            <w:vAlign w:val="top"/>
          </w:tcPr>
          <w:p>
            <w:r>
              <w:rPr>
                <w:sz w:val="14"/>
              </w:rPr>
              <w:t>Assurance Decision</w:t>
            </w:r>
          </w:p>
        </w:tc>
        <w:tc>
          <w:tcPr>
            <w:tcW w:type="dxa" w:w="5083"/>
            <w:vAlign w:val="top"/>
          </w:tcPr>
          <w:p>
            <w:r>
              <w:rPr>
                <w:sz w:val="14"/>
              </w:rPr>
              <w:t>Bounded conclusion issued by accountable authority.</w:t>
            </w:r>
          </w:p>
        </w:tc>
      </w:tr>
      <w:tr>
        <w:tc>
          <w:tcPr>
            <w:tcW w:type="dxa" w:w="5083"/>
            <w:vAlign w:val="top"/>
            <w:shd w:fill="F4F7FA"/>
          </w:tcPr>
          <w:p>
            <w:r>
              <w:rPr>
                <w:sz w:val="14"/>
              </w:rPr>
              <w:t>UNKNOWN</w:t>
            </w:r>
          </w:p>
        </w:tc>
        <w:tc>
          <w:tcPr>
            <w:tcW w:type="dxa" w:w="5083"/>
            <w:vAlign w:val="top"/>
            <w:shd w:fill="F4F7FA"/>
          </w:tcPr>
          <w:p>
            <w:r>
              <w:rPr>
                <w:sz w:val="14"/>
              </w:rPr>
              <w:t>State where sufficient and reliable determination cannot be made.</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Acronym</w:t>
            </w:r>
          </w:p>
        </w:tc>
        <w:tc>
          <w:tcPr>
            <w:tcW w:type="dxa" w:w="5083"/>
            <w:shd w:fill="17365D"/>
            <w:vAlign w:val="center"/>
          </w:tcPr>
          <w:p>
            <w:r>
              <w:rPr>
                <w:b/>
                <w:color w:val="FFFFFF"/>
                <w:sz w:val="15"/>
              </w:rPr>
              <w:t>Meaning</w:t>
            </w:r>
          </w:p>
        </w:tc>
      </w:tr>
      <w:tr>
        <w:tc>
          <w:tcPr>
            <w:tcW w:type="dxa" w:w="5083"/>
            <w:vAlign w:val="top"/>
          </w:tcPr>
          <w:p>
            <w:r>
              <w:rPr>
                <w:sz w:val="14"/>
              </w:rPr>
              <w:t>AIDCF</w:t>
            </w:r>
          </w:p>
        </w:tc>
        <w:tc>
          <w:tcPr>
            <w:tcW w:type="dxa" w:w="5083"/>
            <w:vAlign w:val="top"/>
          </w:tcPr>
          <w:p>
            <w:r>
              <w:rPr>
                <w:sz w:val="14"/>
              </w:rPr>
              <w:t>AI Data Centre Facilities Assurance Framework</w:t>
            </w:r>
          </w:p>
        </w:tc>
      </w:tr>
      <w:tr>
        <w:tc>
          <w:tcPr>
            <w:tcW w:type="dxa" w:w="5083"/>
            <w:vAlign w:val="top"/>
            <w:shd w:fill="F4F7FA"/>
          </w:tcPr>
          <w:p>
            <w:r>
              <w:rPr>
                <w:sz w:val="14"/>
              </w:rPr>
              <w:t>AITG</w:t>
            </w:r>
          </w:p>
        </w:tc>
        <w:tc>
          <w:tcPr>
            <w:tcW w:type="dxa" w:w="5083"/>
            <w:vAlign w:val="top"/>
            <w:shd w:fill="F4F7FA"/>
          </w:tcPr>
          <w:p>
            <w:r>
              <w:rPr>
                <w:sz w:val="14"/>
              </w:rPr>
              <w:t>AI Trust Graph</w:t>
            </w:r>
          </w:p>
        </w:tc>
      </w:tr>
      <w:tr>
        <w:tc>
          <w:tcPr>
            <w:tcW w:type="dxa" w:w="5083"/>
            <w:vAlign w:val="top"/>
          </w:tcPr>
          <w:p>
            <w:r>
              <w:rPr>
                <w:sz w:val="14"/>
              </w:rPr>
              <w:t>APS</w:t>
            </w:r>
          </w:p>
        </w:tc>
        <w:tc>
          <w:tcPr>
            <w:tcW w:type="dxa" w:w="5083"/>
            <w:vAlign w:val="top"/>
          </w:tcPr>
          <w:p>
            <w:r>
              <w:rPr>
                <w:sz w:val="14"/>
              </w:rPr>
              <w:t>AIDCF Assurance Principle</w:t>
            </w:r>
          </w:p>
        </w:tc>
      </w:tr>
      <w:tr>
        <w:tc>
          <w:tcPr>
            <w:tcW w:type="dxa" w:w="5083"/>
            <w:vAlign w:val="top"/>
            <w:shd w:fill="F4F7FA"/>
          </w:tcPr>
          <w:p>
            <w:r>
              <w:rPr>
                <w:sz w:val="14"/>
              </w:rPr>
              <w:t>MCF</w:t>
            </w:r>
          </w:p>
        </w:tc>
        <w:tc>
          <w:tcPr>
            <w:tcW w:type="dxa" w:w="5083"/>
            <w:vAlign w:val="top"/>
            <w:shd w:fill="F4F7FA"/>
          </w:tcPr>
          <w:p>
            <w:r>
              <w:rPr>
                <w:sz w:val="14"/>
              </w:rPr>
              <w:t>Master Control Framework identifier</w:t>
            </w:r>
          </w:p>
        </w:tc>
      </w:tr>
      <w:tr>
        <w:tc>
          <w:tcPr>
            <w:tcW w:type="dxa" w:w="5083"/>
            <w:vAlign w:val="top"/>
          </w:tcPr>
          <w:p>
            <w:r>
              <w:rPr>
                <w:sz w:val="14"/>
              </w:rPr>
              <w:t>CDU</w:t>
            </w:r>
          </w:p>
        </w:tc>
        <w:tc>
          <w:tcPr>
            <w:tcW w:type="dxa" w:w="5083"/>
            <w:vAlign w:val="top"/>
          </w:tcPr>
          <w:p>
            <w:r>
              <w:rPr>
                <w:sz w:val="14"/>
              </w:rPr>
              <w:t>Cooling Distribution Unit</w:t>
            </w:r>
          </w:p>
        </w:tc>
      </w:tr>
      <w:tr>
        <w:tc>
          <w:tcPr>
            <w:tcW w:type="dxa" w:w="5083"/>
            <w:vAlign w:val="top"/>
            <w:shd w:fill="F4F7FA"/>
          </w:tcPr>
          <w:p>
            <w:r>
              <w:rPr>
                <w:sz w:val="14"/>
              </w:rPr>
              <w:t>SHACL</w:t>
            </w:r>
          </w:p>
        </w:tc>
        <w:tc>
          <w:tcPr>
            <w:tcW w:type="dxa" w:w="5083"/>
            <w:vAlign w:val="top"/>
            <w:shd w:fill="F4F7FA"/>
          </w:tcPr>
          <w:p>
            <w:r>
              <w:rPr>
                <w:sz w:val="14"/>
              </w:rPr>
              <w:t>Shapes Constraint Language</w:t>
            </w:r>
          </w:p>
        </w:tc>
      </w:tr>
      <w:tr>
        <w:tc>
          <w:tcPr>
            <w:tcW w:type="dxa" w:w="5083"/>
            <w:vAlign w:val="top"/>
          </w:tcPr>
          <w:p>
            <w:r>
              <w:rPr>
                <w:sz w:val="14"/>
              </w:rPr>
              <w:t>RDF</w:t>
            </w:r>
          </w:p>
        </w:tc>
        <w:tc>
          <w:tcPr>
            <w:tcW w:type="dxa" w:w="5083"/>
            <w:vAlign w:val="top"/>
          </w:tcPr>
          <w:p>
            <w:r>
              <w:rPr>
                <w:sz w:val="14"/>
              </w:rPr>
              <w:t>Resource Description Framework</w:t>
            </w:r>
          </w:p>
        </w:tc>
      </w:tr>
      <w:tr>
        <w:tc>
          <w:tcPr>
            <w:tcW w:type="dxa" w:w="5083"/>
            <w:vAlign w:val="top"/>
            <w:shd w:fill="F4F7FA"/>
          </w:tcPr>
          <w:p>
            <w:r>
              <w:rPr>
                <w:sz w:val="14"/>
              </w:rPr>
              <w:t>TEVV</w:t>
            </w:r>
          </w:p>
        </w:tc>
        <w:tc>
          <w:tcPr>
            <w:tcW w:type="dxa" w:w="5083"/>
            <w:vAlign w:val="top"/>
            <w:shd w:fill="F4F7FA"/>
          </w:tcPr>
          <w:p>
            <w:r>
              <w:rPr>
                <w:sz w:val="14"/>
              </w:rPr>
              <w:t>Testing, evaluation, verification and validation</w:t>
            </w:r>
          </w:p>
        </w:tc>
      </w:tr>
    </w:tbl>
    <w:p/>
    <w:p>
      <w:r/>
    </w:p>
    <w:p>
      <w:pPr>
        <w:pStyle w:val="Heading1"/>
      </w:pPr>
      <w:r>
        <w:t>7. Status taxonomy and component maturity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Status</w:t>
            </w:r>
          </w:p>
        </w:tc>
        <w:tc>
          <w:tcPr>
            <w:tcW w:type="dxa" w:w="3389"/>
            <w:shd w:fill="17365D"/>
            <w:vAlign w:val="center"/>
          </w:tcPr>
          <w:p>
            <w:r>
              <w:t>Validation Candidate for Independent Review</w:t>
            </w:r>
          </w:p>
        </w:tc>
        <w:tc>
          <w:tcPr>
            <w:tcW w:type="dxa" w:w="3389"/>
            <w:shd w:fill="17365D"/>
            <w:vAlign w:val="center"/>
          </w:tcPr>
          <w:p>
            <w:r>
              <w:rPr>
                <w:b/>
                <w:color w:val="FFFFFF"/>
                <w:sz w:val="15"/>
              </w:rPr>
              <w:t>Use in this whitepaper</w:t>
            </w:r>
          </w:p>
        </w:tc>
      </w:tr>
      <w:tr>
        <w:tc>
          <w:tcPr>
            <w:tcW w:type="dxa" w:w="3389"/>
            <w:vAlign w:val="top"/>
          </w:tcPr>
          <w:p>
            <w:r>
              <w:rPr>
                <w:sz w:val="14"/>
              </w:rPr>
              <w:t>Approved baseline</w:t>
            </w:r>
          </w:p>
        </w:tc>
        <w:tc>
          <w:tcPr>
            <w:tcW w:type="dxa" w:w="3389"/>
            <w:vAlign w:val="top"/>
          </w:tcPr>
          <w:p>
            <w:r>
              <w:rPr>
                <w:sz w:val="14"/>
              </w:rPr>
              <w:t>Constitutionally approved AIDCF identity and cardinality baseline.</w:t>
            </w:r>
          </w:p>
        </w:tc>
        <w:tc>
          <w:tcPr>
            <w:tcW w:type="dxa" w:w="3389"/>
            <w:vAlign w:val="top"/>
          </w:tcPr>
          <w:p>
            <w:r>
              <w:rPr>
                <w:sz w:val="14"/>
              </w:rPr>
              <w:t>AIDCF-007A 15/90/360 only.</w:t>
            </w:r>
          </w:p>
        </w:tc>
      </w:tr>
      <w:tr>
        <w:tc>
          <w:tcPr>
            <w:tcW w:type="dxa" w:w="3389"/>
            <w:vAlign w:val="top"/>
            <w:shd w:fill="F4F7FA"/>
          </w:tcPr>
          <w:p>
            <w:r>
              <w:rPr>
                <w:sz w:val="14"/>
              </w:rPr>
              <w:t>Controlled-review draft</w:t>
            </w:r>
          </w:p>
        </w:tc>
        <w:tc>
          <w:tcPr>
            <w:tcW w:type="dxa" w:w="3389"/>
            <w:vAlign w:val="top"/>
            <w:shd w:fill="F4F7FA"/>
          </w:tcPr>
          <w:p>
            <w:r>
              <w:rPr>
                <w:sz w:val="14"/>
              </w:rPr>
              <w:t>Substantive methodology awaiting multidisciplinary review.</w:t>
            </w:r>
          </w:p>
        </w:tc>
        <w:tc>
          <w:tcPr>
            <w:tcW w:type="dxa" w:w="3389"/>
            <w:vAlign w:val="top"/>
            <w:shd w:fill="F4F7FA"/>
          </w:tcPr>
          <w:p>
            <w:r>
              <w:rPr>
                <w:sz w:val="14"/>
              </w:rPr>
              <w:t>Most AIDCF standards and handbooks.</w:t>
            </w:r>
          </w:p>
        </w:tc>
      </w:tr>
      <w:tr>
        <w:tc>
          <w:tcPr>
            <w:tcW w:type="dxa" w:w="3389"/>
            <w:vAlign w:val="top"/>
          </w:tcPr>
          <w:p>
            <w:r>
              <w:rPr>
                <w:sz w:val="14"/>
              </w:rPr>
              <w:t>Synthetic demonstration</w:t>
            </w:r>
          </w:p>
        </w:tc>
        <w:tc>
          <w:tcPr>
            <w:tcW w:type="dxa" w:w="3389"/>
            <w:vAlign w:val="top"/>
          </w:tcPr>
          <w:p>
            <w:r>
              <w:rPr>
                <w:sz w:val="14"/>
              </w:rPr>
              <w:t>Non-production data and execution for method testing.</w:t>
            </w:r>
          </w:p>
        </w:tc>
        <w:tc>
          <w:tcPr>
            <w:tcW w:type="dxa" w:w="3389"/>
            <w:vAlign w:val="top"/>
          </w:tcPr>
          <w:p>
            <w:r>
              <w:rPr>
                <w:sz w:val="14"/>
              </w:rPr>
              <w:t>AIDCF-015 v1.2.</w:t>
            </w:r>
          </w:p>
        </w:tc>
      </w:tr>
      <w:tr>
        <w:tc>
          <w:tcPr>
            <w:tcW w:type="dxa" w:w="3389"/>
            <w:vAlign w:val="top"/>
            <w:shd w:fill="F4F7FA"/>
          </w:tcPr>
          <w:p>
            <w:r>
              <w:rPr>
                <w:sz w:val="14"/>
              </w:rPr>
              <w:t>Proposed research extension</w:t>
            </w:r>
          </w:p>
        </w:tc>
        <w:tc>
          <w:tcPr>
            <w:tcW w:type="dxa" w:w="3389"/>
            <w:vAlign w:val="top"/>
            <w:shd w:fill="F4F7FA"/>
          </w:tcPr>
          <w:p>
            <w:r>
              <w:rPr>
                <w:sz w:val="14"/>
              </w:rPr>
              <w:t>Concept requiring governance and validation before operational use.</w:t>
            </w:r>
          </w:p>
        </w:tc>
        <w:tc>
          <w:tcPr>
            <w:tcW w:type="dxa" w:w="3389"/>
            <w:vAlign w:val="top"/>
            <w:shd w:fill="F4F7FA"/>
          </w:tcPr>
          <w:p>
            <w:r>
              <w:rPr>
                <w:sz w:val="14"/>
              </w:rPr>
              <w:t>Maturity model, claim patterns and future-state ideas.</w:t>
            </w:r>
          </w:p>
        </w:tc>
      </w:tr>
      <w:tr>
        <w:tc>
          <w:tcPr>
            <w:tcW w:type="dxa" w:w="3389"/>
            <w:vAlign w:val="top"/>
          </w:tcPr>
          <w:p>
            <w:r>
              <w:rPr>
                <w:sz w:val="14"/>
              </w:rPr>
              <w:t>Externally validated</w:t>
            </w:r>
          </w:p>
        </w:tc>
        <w:tc>
          <w:tcPr>
            <w:tcW w:type="dxa" w:w="3389"/>
            <w:vAlign w:val="top"/>
          </w:tcPr>
          <w:p>
            <w:r>
              <w:rPr>
                <w:sz w:val="14"/>
              </w:rPr>
              <w:t>Independent execution or empirical validation completed.</w:t>
            </w:r>
          </w:p>
        </w:tc>
        <w:tc>
          <w:tcPr>
            <w:tcW w:type="dxa" w:w="3389"/>
            <w:vAlign w:val="top"/>
          </w:tcPr>
          <w:p>
            <w:r>
              <w:rPr>
                <w:sz w:val="14"/>
              </w:rPr>
              <w:t>Not yet achieved.</w:t>
            </w:r>
          </w:p>
        </w:tc>
      </w:tr>
    </w:tbl>
    <w:p/>
    <w:p>
      <w:r>
        <w:t>This taxonomy prevents the whitepaper from presenting every component as equally mature. Canonical identity can be approved while substantive control adequacy, gate calibration and real-world effectiveness remain open for review.</w:t>
      </w:r>
    </w:p>
    <w:p>
      <w:r/>
    </w:p>
    <w:p>
      <w:pPr>
        <w:pStyle w:val="Heading1"/>
      </w:pPr>
      <w:r>
        <w:t>8. Why fifteen domains</w:t>
      </w:r>
    </w:p>
    <w:p>
      <w:r>
        <w:t>The fifteen-domain structure applies three design tests. Coverage asks whether every material condition can be anchored without arbitrary omission. Separability asks whether a group has coherent ownership, competence and evidence. Traceability asks whether cross-domain effects can remain explicit rather than hidden inside broad categories.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Cluster</w:t>
            </w:r>
          </w:p>
        </w:tc>
        <w:tc>
          <w:tcPr>
            <w:tcW w:type="dxa" w:w="3389"/>
            <w:shd w:fill="17365D"/>
            <w:vAlign w:val="center"/>
          </w:tcPr>
          <w:p>
            <w:r>
              <w:rPr>
                <w:b/>
                <w:color w:val="FFFFFF"/>
                <w:sz w:val="15"/>
              </w:rPr>
              <w:t>Domains</w:t>
            </w:r>
          </w:p>
        </w:tc>
        <w:tc>
          <w:tcPr>
            <w:tcW w:type="dxa" w:w="3389"/>
            <w:shd w:fill="17365D"/>
            <w:vAlign w:val="center"/>
          </w:tcPr>
          <w:p>
            <w:r>
              <w:rPr>
                <w:b/>
                <w:color w:val="FFFFFF"/>
                <w:sz w:val="15"/>
              </w:rPr>
              <w:t>Rationale</w:t>
            </w:r>
          </w:p>
        </w:tc>
      </w:tr>
      <w:tr>
        <w:tc>
          <w:tcPr>
            <w:tcW w:type="dxa" w:w="3389"/>
            <w:vAlign w:val="top"/>
          </w:tcPr>
          <w:p>
            <w:r>
              <w:rPr>
                <w:sz w:val="14"/>
              </w:rPr>
              <w:t>Direction and subject</w:t>
            </w:r>
          </w:p>
        </w:tc>
        <w:tc>
          <w:tcPr>
            <w:tcW w:type="dxa" w:w="3389"/>
            <w:vAlign w:val="top"/>
          </w:tcPr>
          <w:p>
            <w:r>
              <w:rPr>
                <w:sz w:val="14"/>
              </w:rPr>
              <w:t>GOV, CAP</w:t>
            </w:r>
          </w:p>
        </w:tc>
        <w:tc>
          <w:tcPr>
            <w:tcW w:type="dxa" w:w="3389"/>
            <w:vAlign w:val="top"/>
          </w:tcPr>
          <w:p>
            <w:r>
              <w:rPr>
                <w:sz w:val="14"/>
              </w:rPr>
              <w:t>Separate governance and decision rights from the capability being assured.</w:t>
            </w:r>
          </w:p>
        </w:tc>
      </w:tr>
      <w:tr>
        <w:tc>
          <w:tcPr>
            <w:tcW w:type="dxa" w:w="3389"/>
            <w:vAlign w:val="top"/>
            <w:shd w:fill="F4F7FA"/>
          </w:tcPr>
          <w:p>
            <w:r>
              <w:rPr>
                <w:sz w:val="14"/>
              </w:rPr>
              <w:t>Dependency and place</w:t>
            </w:r>
          </w:p>
        </w:tc>
        <w:tc>
          <w:tcPr>
            <w:tcW w:type="dxa" w:w="3389"/>
            <w:vAlign w:val="top"/>
            <w:shd w:fill="F4F7FA"/>
          </w:tcPr>
          <w:p>
            <w:r>
              <w:rPr>
                <w:sz w:val="14"/>
              </w:rPr>
              <w:t>DEP, PHY</w:t>
            </w:r>
          </w:p>
        </w:tc>
        <w:tc>
          <w:tcPr>
            <w:tcW w:type="dxa" w:w="3389"/>
            <w:vAlign w:val="top"/>
            <w:shd w:fill="F4F7FA"/>
          </w:tcPr>
          <w:p>
            <w:r>
              <w:rPr>
                <w:sz w:val="14"/>
              </w:rPr>
              <w:t>Make hidden reliance and physical boundary explicit.</w:t>
            </w:r>
          </w:p>
        </w:tc>
      </w:tr>
      <w:tr>
        <w:tc>
          <w:tcPr>
            <w:tcW w:type="dxa" w:w="3389"/>
            <w:vAlign w:val="top"/>
          </w:tcPr>
          <w:p>
            <w:r>
              <w:rPr>
                <w:sz w:val="14"/>
              </w:rPr>
              <w:t>Facility engineering</w:t>
            </w:r>
          </w:p>
        </w:tc>
        <w:tc>
          <w:tcPr>
            <w:tcW w:type="dxa" w:w="3389"/>
            <w:vAlign w:val="top"/>
          </w:tcPr>
          <w:p>
            <w:r>
              <w:rPr>
                <w:sz w:val="14"/>
              </w:rPr>
              <w:t>POW, THM, ENV</w:t>
            </w:r>
          </w:p>
        </w:tc>
        <w:tc>
          <w:tcPr>
            <w:tcW w:type="dxa" w:w="3389"/>
            <w:vAlign w:val="top"/>
          </w:tcPr>
          <w:p>
            <w:r>
              <w:rPr>
                <w:sz w:val="14"/>
              </w:rPr>
              <w:t>Different mechanisms, expertise, telemetry and failure modes.</w:t>
            </w:r>
          </w:p>
        </w:tc>
      </w:tr>
      <w:tr>
        <w:tc>
          <w:tcPr>
            <w:tcW w:type="dxa" w:w="3389"/>
            <w:vAlign w:val="top"/>
            <w:shd w:fill="F4F7FA"/>
          </w:tcPr>
          <w:p>
            <w:r>
              <w:rPr>
                <w:sz w:val="14"/>
              </w:rPr>
              <w:t>AI technology chain</w:t>
            </w:r>
          </w:p>
        </w:tc>
        <w:tc>
          <w:tcPr>
            <w:tcW w:type="dxa" w:w="3389"/>
            <w:vAlign w:val="top"/>
            <w:shd w:fill="F4F7FA"/>
          </w:tcPr>
          <w:p>
            <w:r>
              <w:rPr>
                <w:sz w:val="14"/>
              </w:rPr>
              <w:t>CMP, STO, NET</w:t>
            </w:r>
          </w:p>
        </w:tc>
        <w:tc>
          <w:tcPr>
            <w:tcW w:type="dxa" w:w="3389"/>
            <w:vAlign w:val="top"/>
            <w:shd w:fill="F4F7FA"/>
          </w:tcPr>
          <w:p>
            <w:r>
              <w:rPr>
                <w:sz w:val="14"/>
              </w:rPr>
              <w:t>Distinct but tightly coupled compute, data and communication functions.</w:t>
            </w:r>
          </w:p>
        </w:tc>
      </w:tr>
      <w:tr>
        <w:tc>
          <w:tcPr>
            <w:tcW w:type="dxa" w:w="3389"/>
            <w:vAlign w:val="top"/>
          </w:tcPr>
          <w:p>
            <w:r>
              <w:rPr>
                <w:sz w:val="14"/>
              </w:rPr>
              <w:t>Operation and recovery</w:t>
            </w:r>
          </w:p>
        </w:tc>
        <w:tc>
          <w:tcPr>
            <w:tcW w:type="dxa" w:w="3389"/>
            <w:vAlign w:val="top"/>
          </w:tcPr>
          <w:p>
            <w:r>
              <w:rPr>
                <w:sz w:val="14"/>
              </w:rPr>
              <w:t>OPS, RES</w:t>
            </w:r>
          </w:p>
        </w:tc>
        <w:tc>
          <w:tcPr>
            <w:tcW w:type="dxa" w:w="3389"/>
            <w:vAlign w:val="top"/>
          </w:tcPr>
          <w:p>
            <w:r>
              <w:rPr>
                <w:sz w:val="14"/>
              </w:rPr>
              <w:t>Separate routine control from continuity, crisis and restoration.</w:t>
            </w:r>
          </w:p>
        </w:tc>
      </w:tr>
      <w:tr>
        <w:tc>
          <w:tcPr>
            <w:tcW w:type="dxa" w:w="3389"/>
            <w:vAlign w:val="top"/>
            <w:shd w:fill="F4F7FA"/>
          </w:tcPr>
          <w:p>
            <w:r>
              <w:rPr>
                <w:sz w:val="14"/>
              </w:rPr>
              <w:t>Ecosystem and authority</w:t>
            </w:r>
          </w:p>
        </w:tc>
        <w:tc>
          <w:tcPr>
            <w:tcW w:type="dxa" w:w="3389"/>
            <w:vAlign w:val="top"/>
            <w:shd w:fill="F4F7FA"/>
          </w:tcPr>
          <w:p>
            <w:r>
              <w:rPr>
                <w:sz w:val="14"/>
              </w:rPr>
              <w:t>SUP, SEC</w:t>
            </w:r>
          </w:p>
        </w:tc>
        <w:tc>
          <w:tcPr>
            <w:tcW w:type="dxa" w:w="3389"/>
            <w:vAlign w:val="top"/>
            <w:shd w:fill="F4F7FA"/>
          </w:tcPr>
          <w:p>
            <w:r>
              <w:rPr>
                <w:sz w:val="14"/>
              </w:rPr>
              <w:t>Separate supplier/lifecycle reliance from digital and OT authority.</w:t>
            </w:r>
          </w:p>
        </w:tc>
      </w:tr>
      <w:tr>
        <w:tc>
          <w:tcPr>
            <w:tcW w:type="dxa" w:w="3389"/>
            <w:vAlign w:val="top"/>
          </w:tcPr>
          <w:p>
            <w:r>
              <w:rPr>
                <w:sz w:val="14"/>
              </w:rPr>
              <w:t>Assurance integrity</w:t>
            </w:r>
          </w:p>
        </w:tc>
        <w:tc>
          <w:tcPr>
            <w:tcW w:type="dxa" w:w="3389"/>
            <w:vAlign w:val="top"/>
          </w:tcPr>
          <w:p>
            <w:r>
              <w:rPr>
                <w:sz w:val="14"/>
              </w:rPr>
              <w:t>EVA</w:t>
            </w:r>
          </w:p>
        </w:tc>
        <w:tc>
          <w:tcPr>
            <w:tcW w:type="dxa" w:w="3389"/>
            <w:vAlign w:val="top"/>
          </w:tcPr>
          <w:p>
            <w:r>
              <w:rPr>
                <w:sz w:val="14"/>
              </w:rPr>
              <w:t>Independently govern evidence, assessment, gates and decision integrity.</w:t>
            </w:r>
          </w:p>
        </w:tc>
      </w:tr>
    </w:tbl>
    <w:p/>
    <w:p>
      <w:r>
        <w:t>This remains a design hypothesis. Completeness must be tested through expert review, real incidents, pilot assessments and analysis of unmapped requirements.</w:t>
      </w:r>
    </w:p>
    <w:p>
      <w:r/>
    </w:p>
    <w:p>
      <w:pPr>
        <w:pStyle w:val="Heading1"/>
      </w:pPr>
      <w:r>
        <w:t>9. Domain model and control baseline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Code</w:t>
            </w:r>
          </w:p>
        </w:tc>
        <w:tc>
          <w:tcPr>
            <w:tcW w:type="dxa" w:w="3389"/>
            <w:shd w:fill="17365D"/>
            <w:vAlign w:val="center"/>
          </w:tcPr>
          <w:p>
            <w:r>
              <w:rPr>
                <w:b/>
                <w:color w:val="FFFFFF"/>
                <w:sz w:val="15"/>
              </w:rPr>
              <w:t>Domain</w:t>
            </w:r>
          </w:p>
        </w:tc>
        <w:tc>
          <w:tcPr>
            <w:tcW w:type="dxa" w:w="3389"/>
            <w:shd w:fill="17365D"/>
            <w:vAlign w:val="center"/>
          </w:tcPr>
          <w:p>
            <w:r>
              <w:rPr>
                <w:b/>
                <w:color w:val="FFFFFF"/>
                <w:sz w:val="15"/>
              </w:rPr>
              <w:t>Primary gate mapping</w:t>
            </w:r>
          </w:p>
        </w:tc>
      </w:tr>
      <w:tr>
        <w:tc>
          <w:tcPr>
            <w:tcW w:type="dxa" w:w="3389"/>
            <w:vAlign w:val="top"/>
          </w:tcPr>
          <w:p>
            <w:r>
              <w:rPr>
                <w:sz w:val="14"/>
              </w:rPr>
              <w:t>GOV</w:t>
            </w:r>
          </w:p>
        </w:tc>
        <w:tc>
          <w:tcPr>
            <w:tcW w:type="dxa" w:w="3389"/>
            <w:vAlign w:val="top"/>
          </w:tcPr>
          <w:p>
            <w:r>
              <w:rPr>
                <w:sz w:val="14"/>
              </w:rPr>
              <w:t>Governance, Accountability and Assurance Direction</w:t>
            </w:r>
          </w:p>
        </w:tc>
        <w:tc>
          <w:tcPr>
            <w:tcW w:type="dxa" w:w="3389"/>
            <w:vAlign w:val="top"/>
          </w:tcPr>
          <w:p>
            <w:r>
              <w:rPr>
                <w:sz w:val="14"/>
              </w:rPr>
              <w:t>CG-13, CG-14</w:t>
            </w:r>
          </w:p>
        </w:tc>
      </w:tr>
      <w:tr>
        <w:tc>
          <w:tcPr>
            <w:tcW w:type="dxa" w:w="3389"/>
            <w:vAlign w:val="top"/>
            <w:shd w:fill="F4F7FA"/>
          </w:tcPr>
          <w:p>
            <w:r>
              <w:rPr>
                <w:sz w:val="14"/>
              </w:rPr>
              <w:t>CAP</w:t>
            </w:r>
          </w:p>
        </w:tc>
        <w:tc>
          <w:tcPr>
            <w:tcW w:type="dxa" w:w="3389"/>
            <w:vAlign w:val="top"/>
            <w:shd w:fill="F4F7FA"/>
          </w:tcPr>
          <w:p>
            <w:r>
              <w:rPr>
                <w:sz w:val="14"/>
              </w:rPr>
              <w:t>AI Capability, Service Outcome and Demand Management</w:t>
            </w:r>
          </w:p>
        </w:tc>
        <w:tc>
          <w:tcPr>
            <w:tcW w:type="dxa" w:w="3389"/>
            <w:vAlign w:val="top"/>
            <w:shd w:fill="F4F7FA"/>
          </w:tcPr>
          <w:p>
            <w:r>
              <w:rPr>
                <w:sz w:val="14"/>
              </w:rPr>
              <w:t>CG-01, CG-02</w:t>
            </w:r>
          </w:p>
        </w:tc>
      </w:tr>
      <w:tr>
        <w:tc>
          <w:tcPr>
            <w:tcW w:type="dxa" w:w="3389"/>
            <w:vAlign w:val="top"/>
          </w:tcPr>
          <w:p>
            <w:r>
              <w:rPr>
                <w:sz w:val="14"/>
              </w:rPr>
              <w:t>DEP</w:t>
            </w:r>
          </w:p>
        </w:tc>
        <w:tc>
          <w:tcPr>
            <w:tcW w:type="dxa" w:w="3389"/>
            <w:vAlign w:val="top"/>
          </w:tcPr>
          <w:p>
            <w:r>
              <w:rPr>
                <w:sz w:val="14"/>
              </w:rPr>
              <w:t>Dependency, Concentration and External Reliance</w:t>
            </w:r>
          </w:p>
        </w:tc>
        <w:tc>
          <w:tcPr>
            <w:tcW w:type="dxa" w:w="3389"/>
            <w:vAlign w:val="top"/>
          </w:tcPr>
          <w:p>
            <w:r>
              <w:rPr>
                <w:sz w:val="14"/>
              </w:rPr>
              <w:t>CG-03, CG-12</w:t>
            </w:r>
          </w:p>
        </w:tc>
      </w:tr>
      <w:tr>
        <w:tc>
          <w:tcPr>
            <w:tcW w:type="dxa" w:w="3389"/>
            <w:vAlign w:val="top"/>
            <w:shd w:fill="F4F7FA"/>
          </w:tcPr>
          <w:p>
            <w:r>
              <w:rPr>
                <w:sz w:val="14"/>
              </w:rPr>
              <w:t>PHY</w:t>
            </w:r>
          </w:p>
        </w:tc>
        <w:tc>
          <w:tcPr>
            <w:tcW w:type="dxa" w:w="3389"/>
            <w:vAlign w:val="top"/>
            <w:shd w:fill="F4F7FA"/>
          </w:tcPr>
          <w:p>
            <w:r>
              <w:rPr>
                <w:sz w:val="14"/>
              </w:rPr>
              <w:t>Physical Site, Building and Security Infrastructure</w:t>
            </w:r>
          </w:p>
        </w:tc>
        <w:tc>
          <w:tcPr>
            <w:tcW w:type="dxa" w:w="3389"/>
            <w:vAlign w:val="top"/>
            <w:shd w:fill="F4F7FA"/>
          </w:tcPr>
          <w:p>
            <w:r>
              <w:rPr>
                <w:sz w:val="14"/>
              </w:rPr>
              <w:t>CG-02, CG-04</w:t>
            </w:r>
          </w:p>
        </w:tc>
      </w:tr>
      <w:tr>
        <w:tc>
          <w:tcPr>
            <w:tcW w:type="dxa" w:w="3389"/>
            <w:vAlign w:val="top"/>
          </w:tcPr>
          <w:p>
            <w:r>
              <w:rPr>
                <w:sz w:val="14"/>
              </w:rPr>
              <w:t>POW</w:t>
            </w:r>
          </w:p>
        </w:tc>
        <w:tc>
          <w:tcPr>
            <w:tcW w:type="dxa" w:w="3389"/>
            <w:vAlign w:val="top"/>
          </w:tcPr>
          <w:p>
            <w:r>
              <w:rPr>
                <w:sz w:val="14"/>
              </w:rPr>
              <w:t>Electrical Power Infrastructure and Energy Continuity</w:t>
            </w:r>
          </w:p>
        </w:tc>
        <w:tc>
          <w:tcPr>
            <w:tcW w:type="dxa" w:w="3389"/>
            <w:vAlign w:val="top"/>
          </w:tcPr>
          <w:p>
            <w:r>
              <w:rPr>
                <w:sz w:val="14"/>
              </w:rPr>
              <w:t>CG-05</w:t>
            </w:r>
          </w:p>
        </w:tc>
      </w:tr>
      <w:tr>
        <w:tc>
          <w:tcPr>
            <w:tcW w:type="dxa" w:w="3389"/>
            <w:vAlign w:val="top"/>
            <w:shd w:fill="F4F7FA"/>
          </w:tcPr>
          <w:p>
            <w:r>
              <w:rPr>
                <w:sz w:val="14"/>
              </w:rPr>
              <w:t>THM</w:t>
            </w:r>
          </w:p>
        </w:tc>
        <w:tc>
          <w:tcPr>
            <w:tcW w:type="dxa" w:w="3389"/>
            <w:vAlign w:val="top"/>
            <w:shd w:fill="F4F7FA"/>
          </w:tcPr>
          <w:p>
            <w:r>
              <w:rPr>
                <w:sz w:val="14"/>
              </w:rPr>
              <w:t>Cooling, Thermal and Fluid Infrastructure</w:t>
            </w:r>
          </w:p>
        </w:tc>
        <w:tc>
          <w:tcPr>
            <w:tcW w:type="dxa" w:w="3389"/>
            <w:vAlign w:val="top"/>
            <w:shd w:fill="F4F7FA"/>
          </w:tcPr>
          <w:p>
            <w:r>
              <w:rPr>
                <w:sz w:val="14"/>
              </w:rPr>
              <w:t>CG-06</w:t>
            </w:r>
          </w:p>
        </w:tc>
      </w:tr>
      <w:tr>
        <w:tc>
          <w:tcPr>
            <w:tcW w:type="dxa" w:w="3389"/>
            <w:vAlign w:val="top"/>
          </w:tcPr>
          <w:p>
            <w:r>
              <w:rPr>
                <w:sz w:val="14"/>
              </w:rPr>
              <w:t>ENV</w:t>
            </w:r>
          </w:p>
        </w:tc>
        <w:tc>
          <w:tcPr>
            <w:tcW w:type="dxa" w:w="3389"/>
            <w:vAlign w:val="top"/>
          </w:tcPr>
          <w:p>
            <w:r>
              <w:rPr>
                <w:sz w:val="14"/>
              </w:rPr>
              <w:t>Environmental and Resource Performance</w:t>
            </w:r>
          </w:p>
        </w:tc>
        <w:tc>
          <w:tcPr>
            <w:tcW w:type="dxa" w:w="3389"/>
            <w:vAlign w:val="top"/>
          </w:tcPr>
          <w:p>
            <w:r>
              <w:rPr>
                <w:sz w:val="14"/>
              </w:rPr>
              <w:t>CG-02, CG-04</w:t>
            </w:r>
          </w:p>
        </w:tc>
      </w:tr>
      <w:tr>
        <w:tc>
          <w:tcPr>
            <w:tcW w:type="dxa" w:w="3389"/>
            <w:vAlign w:val="top"/>
            <w:shd w:fill="F4F7FA"/>
          </w:tcPr>
          <w:p>
            <w:r>
              <w:rPr>
                <w:sz w:val="14"/>
              </w:rPr>
              <w:t>CMP</w:t>
            </w:r>
          </w:p>
        </w:tc>
        <w:tc>
          <w:tcPr>
            <w:tcW w:type="dxa" w:w="3389"/>
            <w:vAlign w:val="top"/>
            <w:shd w:fill="F4F7FA"/>
          </w:tcPr>
          <w:p>
            <w:r>
              <w:rPr>
                <w:sz w:val="14"/>
              </w:rPr>
              <w:t>AI Compute Infrastructure</w:t>
            </w:r>
          </w:p>
        </w:tc>
        <w:tc>
          <w:tcPr>
            <w:tcW w:type="dxa" w:w="3389"/>
            <w:vAlign w:val="top"/>
            <w:shd w:fill="F4F7FA"/>
          </w:tcPr>
          <w:p>
            <w:r>
              <w:rPr>
                <w:sz w:val="14"/>
              </w:rPr>
              <w:t>CG-08</w:t>
            </w:r>
          </w:p>
        </w:tc>
      </w:tr>
      <w:tr>
        <w:tc>
          <w:tcPr>
            <w:tcW w:type="dxa" w:w="3389"/>
            <w:vAlign w:val="top"/>
          </w:tcPr>
          <w:p>
            <w:r>
              <w:rPr>
                <w:sz w:val="14"/>
              </w:rPr>
              <w:t>STO</w:t>
            </w:r>
          </w:p>
        </w:tc>
        <w:tc>
          <w:tcPr>
            <w:tcW w:type="dxa" w:w="3389"/>
            <w:vAlign w:val="top"/>
          </w:tcPr>
          <w:p>
            <w:r>
              <w:rPr>
                <w:sz w:val="14"/>
              </w:rPr>
              <w:t>AI Storage and Data Infrastructure</w:t>
            </w:r>
          </w:p>
        </w:tc>
        <w:tc>
          <w:tcPr>
            <w:tcW w:type="dxa" w:w="3389"/>
            <w:vAlign w:val="top"/>
          </w:tcPr>
          <w:p>
            <w:r>
              <w:rPr>
                <w:sz w:val="14"/>
              </w:rPr>
              <w:t>CG-08, CG-10</w:t>
            </w:r>
          </w:p>
        </w:tc>
      </w:tr>
      <w:tr>
        <w:tc>
          <w:tcPr>
            <w:tcW w:type="dxa" w:w="3389"/>
            <w:vAlign w:val="top"/>
            <w:shd w:fill="F4F7FA"/>
          </w:tcPr>
          <w:p>
            <w:r>
              <w:rPr>
                <w:sz w:val="14"/>
              </w:rPr>
              <w:t>NET</w:t>
            </w:r>
          </w:p>
        </w:tc>
        <w:tc>
          <w:tcPr>
            <w:tcW w:type="dxa" w:w="3389"/>
            <w:vAlign w:val="top"/>
            <w:shd w:fill="F4F7FA"/>
          </w:tcPr>
          <w:p>
            <w:r>
              <w:rPr>
                <w:sz w:val="14"/>
              </w:rPr>
              <w:t>AI Network and Interconnect Architecture</w:t>
            </w:r>
          </w:p>
        </w:tc>
        <w:tc>
          <w:tcPr>
            <w:tcW w:type="dxa" w:w="3389"/>
            <w:vAlign w:val="top"/>
            <w:shd w:fill="F4F7FA"/>
          </w:tcPr>
          <w:p>
            <w:r>
              <w:rPr>
                <w:sz w:val="14"/>
              </w:rPr>
              <w:t>CG-08</w:t>
            </w:r>
          </w:p>
        </w:tc>
      </w:tr>
      <w:tr>
        <w:tc>
          <w:tcPr>
            <w:tcW w:type="dxa" w:w="3389"/>
            <w:vAlign w:val="top"/>
          </w:tcPr>
          <w:p>
            <w:r>
              <w:rPr>
                <w:sz w:val="14"/>
              </w:rPr>
              <w:t>OPS</w:t>
            </w:r>
          </w:p>
        </w:tc>
        <w:tc>
          <w:tcPr>
            <w:tcW w:type="dxa" w:w="3389"/>
            <w:vAlign w:val="top"/>
          </w:tcPr>
          <w:p>
            <w:r>
              <w:rPr>
                <w:sz w:val="14"/>
              </w:rPr>
              <w:t>Building Operations and Service Management</w:t>
            </w:r>
          </w:p>
        </w:tc>
        <w:tc>
          <w:tcPr>
            <w:tcW w:type="dxa" w:w="3389"/>
            <w:vAlign w:val="top"/>
          </w:tcPr>
          <w:p>
            <w:r>
              <w:rPr>
                <w:sz w:val="14"/>
              </w:rPr>
              <w:t>CG-07, CG-13, CG-14</w:t>
            </w:r>
          </w:p>
        </w:tc>
      </w:tr>
      <w:tr>
        <w:tc>
          <w:tcPr>
            <w:tcW w:type="dxa" w:w="3389"/>
            <w:vAlign w:val="top"/>
            <w:shd w:fill="F4F7FA"/>
          </w:tcPr>
          <w:p>
            <w:r>
              <w:rPr>
                <w:sz w:val="14"/>
              </w:rPr>
              <w:t>RES</w:t>
            </w:r>
          </w:p>
        </w:tc>
        <w:tc>
          <w:tcPr>
            <w:tcW w:type="dxa" w:w="3389"/>
            <w:vAlign w:val="top"/>
            <w:shd w:fill="F4F7FA"/>
          </w:tcPr>
          <w:p>
            <w:r>
              <w:rPr>
                <w:sz w:val="14"/>
              </w:rPr>
              <w:t>Resilience, Continuity and Recovery</w:t>
            </w:r>
          </w:p>
        </w:tc>
        <w:tc>
          <w:tcPr>
            <w:tcW w:type="dxa" w:w="3389"/>
            <w:vAlign w:val="top"/>
            <w:shd w:fill="F4F7FA"/>
          </w:tcPr>
          <w:p>
            <w:r>
              <w:rPr>
                <w:sz w:val="14"/>
              </w:rPr>
              <w:t>CG-09, CG-10</w:t>
            </w:r>
          </w:p>
        </w:tc>
      </w:tr>
      <w:tr>
        <w:tc>
          <w:tcPr>
            <w:tcW w:type="dxa" w:w="3389"/>
            <w:vAlign w:val="top"/>
          </w:tcPr>
          <w:p>
            <w:r>
              <w:rPr>
                <w:sz w:val="14"/>
              </w:rPr>
              <w:t>SUP</w:t>
            </w:r>
          </w:p>
        </w:tc>
        <w:tc>
          <w:tcPr>
            <w:tcW w:type="dxa" w:w="3389"/>
            <w:vAlign w:val="top"/>
          </w:tcPr>
          <w:p>
            <w:r>
              <w:rPr>
                <w:sz w:val="14"/>
              </w:rPr>
              <w:t>Supply Chain, OEM and Ecosystem Assurance</w:t>
            </w:r>
          </w:p>
        </w:tc>
        <w:tc>
          <w:tcPr>
            <w:tcW w:type="dxa" w:w="3389"/>
            <w:vAlign w:val="top"/>
          </w:tcPr>
          <w:p>
            <w:r>
              <w:rPr>
                <w:sz w:val="14"/>
              </w:rPr>
              <w:t>CG-03, CG-13</w:t>
            </w:r>
          </w:p>
        </w:tc>
      </w:tr>
      <w:tr>
        <w:tc>
          <w:tcPr>
            <w:tcW w:type="dxa" w:w="3389"/>
            <w:vAlign w:val="top"/>
            <w:shd w:fill="F4F7FA"/>
          </w:tcPr>
          <w:p>
            <w:r>
              <w:rPr>
                <w:sz w:val="14"/>
              </w:rPr>
              <w:t>SEC</w:t>
            </w:r>
          </w:p>
        </w:tc>
        <w:tc>
          <w:tcPr>
            <w:tcW w:type="dxa" w:w="3389"/>
            <w:vAlign w:val="top"/>
            <w:shd w:fill="F4F7FA"/>
          </w:tcPr>
          <w:p>
            <w:r>
              <w:rPr>
                <w:sz w:val="14"/>
              </w:rPr>
              <w:t>Digital, OT and Control-Plane Security</w:t>
            </w:r>
          </w:p>
        </w:tc>
        <w:tc>
          <w:tcPr>
            <w:tcW w:type="dxa" w:w="3389"/>
            <w:vAlign w:val="top"/>
            <w:shd w:fill="F4F7FA"/>
          </w:tcPr>
          <w:p>
            <w:r>
              <w:rPr>
                <w:sz w:val="14"/>
              </w:rPr>
              <w:t>CG-07, CG-15</w:t>
            </w:r>
          </w:p>
        </w:tc>
      </w:tr>
      <w:tr>
        <w:tc>
          <w:tcPr>
            <w:tcW w:type="dxa" w:w="3389"/>
            <w:vAlign w:val="top"/>
          </w:tcPr>
          <w:p>
            <w:r>
              <w:rPr>
                <w:sz w:val="14"/>
              </w:rPr>
              <w:t>EVA</w:t>
            </w:r>
          </w:p>
        </w:tc>
        <w:tc>
          <w:tcPr>
            <w:tcW w:type="dxa" w:w="3389"/>
            <w:vAlign w:val="top"/>
          </w:tcPr>
          <w:p>
            <w:r>
              <w:rPr>
                <w:sz w:val="14"/>
              </w:rPr>
              <w:t>Evidence, Assessment and Assurance Management</w:t>
            </w:r>
          </w:p>
        </w:tc>
        <w:tc>
          <w:tcPr>
            <w:tcW w:type="dxa" w:w="3389"/>
            <w:vAlign w:val="top"/>
          </w:tcPr>
          <w:p>
            <w:r>
              <w:rPr>
                <w:sz w:val="14"/>
              </w:rPr>
              <w:t>CG-11, CG-12</w:t>
            </w:r>
          </w:p>
        </w:tc>
      </w:tr>
    </w:tbl>
    <w:p/>
    <w:p>
      <w:r>
        <w:t>Each domain contains six families and twenty-four controls, yielding ninety families and 360 controls. Stable identity does not imply immutable wording. Meaning-changing replacements require new identifiers and explicit supersession.</w:t>
      </w:r>
    </w:p>
    <w:p>
      <w:r/>
    </w:p>
    <w:p>
      <w:pPr>
        <w:pStyle w:val="Heading1"/>
      </w:pPr>
      <w:r>
        <w:t>10. System-of-systems reference architecture</w:t>
      </w:r>
    </w:p>
    <w:p>
      <w:pPr>
        <w:jc w:val="center"/>
      </w:pPr>
      <w:r/>
    </w:p>
    <w:p>
      <w:pPr>
        <w:pStyle w:val="Caption"/>
        <w:jc w:val="center"/>
      </w:pPr>
      <w:r>
        <w:t>Figure 3. Reference architecture with assurance and resilience rails.</w:t>
      </w:r>
    </w:p>
    <w:p>
      <w:r>
        <w:t>The vertical service stack traces how external resources and facilities enable AI technology and AI services to achieve business outcomes. The assurance rail attaches controls, evidence, assessments, gates and decisions to every layer. The resilience rail attaches states, dependencies, fault domains, failure paths, safeguards and recovery.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Mandatory view</w:t>
            </w:r>
          </w:p>
        </w:tc>
        <w:tc>
          <w:tcPr>
            <w:tcW w:type="dxa" w:w="5083"/>
            <w:shd w:fill="17365D"/>
            <w:vAlign w:val="center"/>
          </w:tcPr>
          <w:p>
            <w:r>
              <w:rPr>
                <w:b/>
                <w:color w:val="FFFFFF"/>
                <w:sz w:val="15"/>
              </w:rPr>
              <w:t>Required content</w:t>
            </w:r>
          </w:p>
        </w:tc>
      </w:tr>
      <w:tr>
        <w:tc>
          <w:tcPr>
            <w:tcW w:type="dxa" w:w="5083"/>
            <w:vAlign w:val="top"/>
          </w:tcPr>
          <w:p>
            <w:r>
              <w:rPr>
                <w:sz w:val="14"/>
              </w:rPr>
              <w:t>Capability</w:t>
            </w:r>
          </w:p>
        </w:tc>
        <w:tc>
          <w:tcPr>
            <w:tcW w:type="dxa" w:w="5083"/>
            <w:vAlign w:val="top"/>
          </w:tcPr>
          <w:p>
            <w:r>
              <w:rPr>
                <w:sz w:val="14"/>
              </w:rPr>
              <w:t>Owner, lifecycle, outcomes, tolerances and criticality.</w:t>
            </w:r>
          </w:p>
        </w:tc>
      </w:tr>
      <w:tr>
        <w:tc>
          <w:tcPr>
            <w:tcW w:type="dxa" w:w="5083"/>
            <w:vAlign w:val="top"/>
            <w:shd w:fill="F4F7FA"/>
          </w:tcPr>
          <w:p>
            <w:r>
              <w:rPr>
                <w:sz w:val="14"/>
              </w:rPr>
              <w:t>Boundary</w:t>
            </w:r>
          </w:p>
        </w:tc>
        <w:tc>
          <w:tcPr>
            <w:tcW w:type="dxa" w:w="5083"/>
            <w:vAlign w:val="top"/>
            <w:shd w:fill="F4F7FA"/>
          </w:tcPr>
          <w:p>
            <w:r>
              <w:rPr>
                <w:sz w:val="14"/>
              </w:rPr>
              <w:t>Physical, logical, organisational, provider and temporal limits.</w:t>
            </w:r>
          </w:p>
        </w:tc>
      </w:tr>
      <w:tr>
        <w:tc>
          <w:tcPr>
            <w:tcW w:type="dxa" w:w="5083"/>
            <w:vAlign w:val="top"/>
          </w:tcPr>
          <w:p>
            <w:r>
              <w:rPr>
                <w:sz w:val="14"/>
              </w:rPr>
              <w:t>Service chain</w:t>
            </w:r>
          </w:p>
        </w:tc>
        <w:tc>
          <w:tcPr>
            <w:tcW w:type="dxa" w:w="5083"/>
            <w:vAlign w:val="top"/>
          </w:tcPr>
          <w:p>
            <w:r>
              <w:rPr>
                <w:sz w:val="14"/>
              </w:rPr>
              <w:t>Functions and interfaces from workload to facility resources.</w:t>
            </w:r>
          </w:p>
        </w:tc>
      </w:tr>
      <w:tr>
        <w:tc>
          <w:tcPr>
            <w:tcW w:type="dxa" w:w="5083"/>
            <w:vAlign w:val="top"/>
            <w:shd w:fill="F4F7FA"/>
          </w:tcPr>
          <w:p>
            <w:r>
              <w:rPr>
                <w:sz w:val="14"/>
              </w:rPr>
              <w:t>Dependency</w:t>
            </w:r>
          </w:p>
        </w:tc>
        <w:tc>
          <w:tcPr>
            <w:tcW w:type="dxa" w:w="5083"/>
            <w:vAlign w:val="top"/>
            <w:shd w:fill="F4F7FA"/>
          </w:tcPr>
          <w:p>
            <w:r>
              <w:rPr>
                <w:sz w:val="14"/>
              </w:rPr>
              <w:t>Internal, shared, external and recovery-only reliance.</w:t>
            </w:r>
          </w:p>
        </w:tc>
      </w:tr>
      <w:tr>
        <w:tc>
          <w:tcPr>
            <w:tcW w:type="dxa" w:w="5083"/>
            <w:vAlign w:val="top"/>
          </w:tcPr>
          <w:p>
            <w:r>
              <w:rPr>
                <w:sz w:val="14"/>
              </w:rPr>
              <w:t>State and capacity</w:t>
            </w:r>
          </w:p>
        </w:tc>
        <w:tc>
          <w:tcPr>
            <w:tcW w:type="dxa" w:w="5083"/>
            <w:vAlign w:val="top"/>
          </w:tcPr>
          <w:p>
            <w:r>
              <w:rPr>
                <w:sz w:val="14"/>
              </w:rPr>
              <w:t>Normal, maintenance, degraded, emergency, recovery and transition states; installed, available, resilient and committed capacity.</w:t>
            </w:r>
          </w:p>
        </w:tc>
      </w:tr>
      <w:tr>
        <w:tc>
          <w:tcPr>
            <w:tcW w:type="dxa" w:w="5083"/>
            <w:vAlign w:val="top"/>
            <w:shd w:fill="F4F7FA"/>
          </w:tcPr>
          <w:p>
            <w:r>
              <w:rPr>
                <w:sz w:val="14"/>
              </w:rPr>
              <w:t>Failure and safeguard</w:t>
            </w:r>
          </w:p>
        </w:tc>
        <w:tc>
          <w:tcPr>
            <w:tcW w:type="dxa" w:w="5083"/>
            <w:vAlign w:val="top"/>
            <w:shd w:fill="F4F7FA"/>
          </w:tcPr>
          <w:p>
            <w:r>
              <w:rPr>
                <w:sz w:val="14"/>
              </w:rPr>
              <w:t>Initiating condition, propagation, consequence, safeguards, residual path and recovery.</w:t>
            </w:r>
          </w:p>
        </w:tc>
      </w:tr>
      <w:tr>
        <w:tc>
          <w:tcPr>
            <w:tcW w:type="dxa" w:w="5083"/>
            <w:vAlign w:val="top"/>
          </w:tcPr>
          <w:p>
            <w:r>
              <w:rPr>
                <w:sz w:val="14"/>
              </w:rPr>
              <w:t>Assurance attachment</w:t>
            </w:r>
          </w:p>
        </w:tc>
        <w:tc>
          <w:tcPr>
            <w:tcW w:type="dxa" w:w="5083"/>
            <w:vAlign w:val="top"/>
          </w:tcPr>
          <w:p>
            <w:r>
              <w:rPr>
                <w:sz w:val="14"/>
              </w:rPr>
              <w:t>Controls, evidence, assessments, findings, gates, score and decision.</w:t>
            </w:r>
          </w:p>
        </w:tc>
      </w:tr>
    </w:tbl>
    <w:p/>
    <w:p>
      <w:r/>
    </w:p>
    <w:p>
      <w:pPr>
        <w:pStyle w:val="Heading1"/>
      </w:pPr>
      <w:r>
        <w:t>11. Capability service chains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Capability pattern</w:t>
            </w:r>
          </w:p>
        </w:tc>
        <w:tc>
          <w:tcPr>
            <w:tcW w:type="dxa" w:w="3389"/>
            <w:shd w:fill="17365D"/>
            <w:vAlign w:val="center"/>
          </w:tcPr>
          <w:p>
            <w:r>
              <w:rPr>
                <w:b/>
                <w:color w:val="FFFFFF"/>
                <w:sz w:val="15"/>
              </w:rPr>
              <w:t>Required functions</w:t>
            </w:r>
          </w:p>
        </w:tc>
        <w:tc>
          <w:tcPr>
            <w:tcW w:type="dxa" w:w="3389"/>
            <w:shd w:fill="17365D"/>
            <w:vAlign w:val="center"/>
          </w:tcPr>
          <w:p>
            <w:r>
              <w:rPr>
                <w:b/>
                <w:color w:val="FFFFFF"/>
                <w:sz w:val="15"/>
              </w:rPr>
              <w:t>Representative adverse conditions</w:t>
            </w:r>
          </w:p>
        </w:tc>
      </w:tr>
      <w:tr>
        <w:tc>
          <w:tcPr>
            <w:tcW w:type="dxa" w:w="3389"/>
            <w:vAlign w:val="top"/>
          </w:tcPr>
          <w:p>
            <w:r>
              <w:rPr>
                <w:sz w:val="14"/>
              </w:rPr>
              <w:t>Distributed training</w:t>
            </w:r>
          </w:p>
        </w:tc>
        <w:tc>
          <w:tcPr>
            <w:tcW w:type="dxa" w:w="3389"/>
            <w:vAlign w:val="top"/>
          </w:tcPr>
          <w:p>
            <w:r>
              <w:rPr>
                <w:sz w:val="14"/>
              </w:rPr>
              <w:t>Scheduling, accelerator capacity, collective communication, training data, checkpointing, power and cooling.</w:t>
            </w:r>
          </w:p>
        </w:tc>
        <w:tc>
          <w:tcPr>
            <w:tcW w:type="dxa" w:w="3389"/>
            <w:vAlign w:val="top"/>
          </w:tcPr>
          <w:p>
            <w:r>
              <w:rPr>
                <w:sz w:val="14"/>
              </w:rPr>
              <w:t>Fabric partition, thermal throttling, checkpoint loss, scheduler failure.</w:t>
            </w:r>
          </w:p>
        </w:tc>
      </w:tr>
      <w:tr>
        <w:tc>
          <w:tcPr>
            <w:tcW w:type="dxa" w:w="3389"/>
            <w:vAlign w:val="top"/>
            <w:shd w:fill="F4F7FA"/>
          </w:tcPr>
          <w:p>
            <w:r>
              <w:rPr>
                <w:sz w:val="14"/>
              </w:rPr>
              <w:t>Inference</w:t>
            </w:r>
          </w:p>
        </w:tc>
        <w:tc>
          <w:tcPr>
            <w:tcW w:type="dxa" w:w="3389"/>
            <w:vAlign w:val="top"/>
            <w:shd w:fill="F4F7FA"/>
          </w:tcPr>
          <w:p>
            <w:r>
              <w:rPr>
                <w:sz w:val="14"/>
              </w:rPr>
              <w:t>Request routing, model serving, accelerator availability, cache/data access and latency observability.</w:t>
            </w:r>
          </w:p>
        </w:tc>
        <w:tc>
          <w:tcPr>
            <w:tcW w:type="dxa" w:w="3389"/>
            <w:vAlign w:val="top"/>
            <w:shd w:fill="F4F7FA"/>
          </w:tcPr>
          <w:p>
            <w:r>
              <w:rPr>
                <w:sz w:val="14"/>
              </w:rPr>
              <w:t>Tail-latency excursion, overload, model-store or network degradation.</w:t>
            </w:r>
          </w:p>
        </w:tc>
      </w:tr>
      <w:tr>
        <w:tc>
          <w:tcPr>
            <w:tcW w:type="dxa" w:w="3389"/>
            <w:vAlign w:val="top"/>
          </w:tcPr>
          <w:p>
            <w:r>
              <w:rPr>
                <w:sz w:val="14"/>
              </w:rPr>
              <w:t>Fine-tuning</w:t>
            </w:r>
          </w:p>
        </w:tc>
        <w:tc>
          <w:tcPr>
            <w:tcW w:type="dxa" w:w="3389"/>
            <w:vAlign w:val="top"/>
          </w:tcPr>
          <w:p>
            <w:r>
              <w:rPr>
                <w:sz w:val="14"/>
              </w:rPr>
              <w:t>Data preparation, workload placement, artifact management and reproducible recovery.</w:t>
            </w:r>
          </w:p>
        </w:tc>
        <w:tc>
          <w:tcPr>
            <w:tcW w:type="dxa" w:w="3389"/>
            <w:vAlign w:val="top"/>
          </w:tcPr>
          <w:p>
            <w:r>
              <w:rPr>
                <w:sz w:val="14"/>
              </w:rPr>
              <w:t>Configuration drift, dataset access loss, interrupted checkpoint cycle.</w:t>
            </w:r>
          </w:p>
        </w:tc>
      </w:tr>
      <w:tr>
        <w:tc>
          <w:tcPr>
            <w:tcW w:type="dxa" w:w="3389"/>
            <w:vAlign w:val="top"/>
            <w:shd w:fill="F4F7FA"/>
          </w:tcPr>
          <w:p>
            <w:r>
              <w:rPr>
                <w:sz w:val="14"/>
              </w:rPr>
              <w:t>Sovereign AI</w:t>
            </w:r>
          </w:p>
        </w:tc>
        <w:tc>
          <w:tcPr>
            <w:tcW w:type="dxa" w:w="3389"/>
            <w:vAlign w:val="top"/>
            <w:shd w:fill="F4F7FA"/>
          </w:tcPr>
          <w:p>
            <w:r>
              <w:rPr>
                <w:sz w:val="14"/>
              </w:rPr>
              <w:t>Boundary enforcement, local operations, supply visibility, restricted administration and continuity.</w:t>
            </w:r>
          </w:p>
        </w:tc>
        <w:tc>
          <w:tcPr>
            <w:tcW w:type="dxa" w:w="3389"/>
            <w:vAlign w:val="top"/>
            <w:shd w:fill="F4F7FA"/>
          </w:tcPr>
          <w:p>
            <w:r>
              <w:rPr>
                <w:sz w:val="14"/>
              </w:rPr>
              <w:t>Remote authority, jurisdictional dependency, external telemetry or support concentration.</w:t>
            </w:r>
          </w:p>
        </w:tc>
      </w:tr>
      <w:tr>
        <w:tc>
          <w:tcPr>
            <w:tcW w:type="dxa" w:w="3389"/>
            <w:vAlign w:val="top"/>
          </w:tcPr>
          <w:p>
            <w:r>
              <w:rPr>
                <w:sz w:val="14"/>
              </w:rPr>
              <w:t>Shared AI platform</w:t>
            </w:r>
          </w:p>
        </w:tc>
        <w:tc>
          <w:tcPr>
            <w:tcW w:type="dxa" w:w="3389"/>
            <w:vAlign w:val="top"/>
          </w:tcPr>
          <w:p>
            <w:r>
              <w:rPr>
                <w:sz w:val="14"/>
              </w:rPr>
              <w:t>Tenant isolation, fair scheduling, capacity reservation, telemetry and service management.</w:t>
            </w:r>
          </w:p>
        </w:tc>
        <w:tc>
          <w:tcPr>
            <w:tcW w:type="dxa" w:w="3389"/>
            <w:vAlign w:val="top"/>
          </w:tcPr>
          <w:p>
            <w:r>
              <w:rPr>
                <w:sz w:val="14"/>
              </w:rPr>
              <w:t>Noisy neighbour, privilege misuse and resource contention.</w:t>
            </w:r>
          </w:p>
        </w:tc>
      </w:tr>
    </w:tbl>
    <w:p/>
    <w:p>
      <w:r/>
    </w:p>
    <w:p>
      <w:pPr>
        <w:pStyle w:val="Heading1"/>
      </w:pPr>
      <w:r>
        <w:t>12. Dependency, capacity and fault-domain analysis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Capacity state</w:t>
            </w:r>
          </w:p>
        </w:tc>
        <w:tc>
          <w:tcPr>
            <w:tcW w:type="dxa" w:w="5083"/>
            <w:shd w:fill="17365D"/>
            <w:vAlign w:val="center"/>
          </w:tcPr>
          <w:p>
            <w:r>
              <w:rPr>
                <w:b/>
                <w:color w:val="FFFFFF"/>
                <w:sz w:val="15"/>
              </w:rPr>
              <w:t>Meaning</w:t>
            </w:r>
          </w:p>
        </w:tc>
      </w:tr>
      <w:tr>
        <w:tc>
          <w:tcPr>
            <w:tcW w:type="dxa" w:w="5083"/>
            <w:vAlign w:val="top"/>
          </w:tcPr>
          <w:p>
            <w:r>
              <w:rPr>
                <w:sz w:val="14"/>
              </w:rPr>
              <w:t>Installed</w:t>
            </w:r>
          </w:p>
        </w:tc>
        <w:tc>
          <w:tcPr>
            <w:tcW w:type="dxa" w:w="5083"/>
            <w:vAlign w:val="top"/>
          </w:tcPr>
          <w:p>
            <w:r>
              <w:rPr>
                <w:sz w:val="14"/>
              </w:rPr>
              <w:t>Nominal capacity physically present.</w:t>
            </w:r>
          </w:p>
        </w:tc>
      </w:tr>
      <w:tr>
        <w:tc>
          <w:tcPr>
            <w:tcW w:type="dxa" w:w="5083"/>
            <w:vAlign w:val="top"/>
            <w:shd w:fill="F4F7FA"/>
          </w:tcPr>
          <w:p>
            <w:r>
              <w:rPr>
                <w:sz w:val="14"/>
              </w:rPr>
              <w:t>Available</w:t>
            </w:r>
          </w:p>
        </w:tc>
        <w:tc>
          <w:tcPr>
            <w:tcW w:type="dxa" w:w="5083"/>
            <w:vAlign w:val="top"/>
            <w:shd w:fill="F4F7FA"/>
          </w:tcPr>
          <w:p>
            <w:r>
              <w:rPr>
                <w:sz w:val="14"/>
              </w:rPr>
              <w:t>Usable after condition, maintenance and derating.</w:t>
            </w:r>
          </w:p>
        </w:tc>
      </w:tr>
      <w:tr>
        <w:tc>
          <w:tcPr>
            <w:tcW w:type="dxa" w:w="5083"/>
            <w:vAlign w:val="top"/>
          </w:tcPr>
          <w:p>
            <w:r>
              <w:rPr>
                <w:sz w:val="14"/>
              </w:rPr>
              <w:t>Resilient</w:t>
            </w:r>
          </w:p>
        </w:tc>
        <w:tc>
          <w:tcPr>
            <w:tcW w:type="dxa" w:w="5083"/>
            <w:vAlign w:val="top"/>
          </w:tcPr>
          <w:p>
            <w:r>
              <w:rPr>
                <w:sz w:val="14"/>
              </w:rPr>
              <w:t>Available in a defined adverse condition.</w:t>
            </w:r>
          </w:p>
        </w:tc>
      </w:tr>
      <w:tr>
        <w:tc>
          <w:tcPr>
            <w:tcW w:type="dxa" w:w="5083"/>
            <w:vAlign w:val="top"/>
            <w:shd w:fill="F4F7FA"/>
          </w:tcPr>
          <w:p>
            <w:r>
              <w:rPr>
                <w:sz w:val="14"/>
              </w:rPr>
              <w:t>Committed</w:t>
            </w:r>
          </w:p>
        </w:tc>
        <w:tc>
          <w:tcPr>
            <w:tcW w:type="dxa" w:w="5083"/>
            <w:vAlign w:val="top"/>
            <w:shd w:fill="F4F7FA"/>
          </w:tcPr>
          <w:p>
            <w:r>
              <w:rPr>
                <w:sz w:val="14"/>
              </w:rPr>
              <w:t>Allocated or contractually reserved.</w:t>
            </w:r>
          </w:p>
        </w:tc>
      </w:tr>
      <w:tr>
        <w:tc>
          <w:tcPr>
            <w:tcW w:type="dxa" w:w="5083"/>
            <w:vAlign w:val="top"/>
          </w:tcPr>
          <w:p>
            <w:r>
              <w:rPr>
                <w:sz w:val="14"/>
              </w:rPr>
              <w:t>Headroom</w:t>
            </w:r>
          </w:p>
        </w:tc>
        <w:tc>
          <w:tcPr>
            <w:tcW w:type="dxa" w:w="5083"/>
            <w:vAlign w:val="top"/>
          </w:tcPr>
          <w:p>
            <w:r>
              <w:rPr>
                <w:sz w:val="14"/>
              </w:rPr>
              <w:t>Remaining usable capacity beyond demand and commitments.</w:t>
            </w:r>
          </w:p>
        </w:tc>
      </w:tr>
    </w:tbl>
    <w:p/>
    <w:p>
      <w:r>
        <w:t>Apparent diversity is not independence. Two paths may share utility supply, fuel, heat rejection, management network, firmware, time service, carrier, physical route, operator or OEM. A dependency assertion records consumer, provider, direction, condition, required capacity, criticality, evidence, confidence, owner and validation date.</w:t>
      </w:r>
    </w:p>
    <w:p>
      <w:r/>
    </w:p>
    <w:p>
      <w:pPr>
        <w:pStyle w:val="Heading1"/>
      </w:pPr>
      <w:r>
        <w:t>13. Threat, hazard and failure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Object</w:t>
            </w:r>
          </w:p>
        </w:tc>
        <w:tc>
          <w:tcPr>
            <w:tcW w:type="dxa" w:w="5083"/>
            <w:shd w:fill="17365D"/>
            <w:vAlign w:val="center"/>
          </w:tcPr>
          <w:p>
            <w:r>
              <w:rPr>
                <w:b/>
                <w:color w:val="FFFFFF"/>
                <w:sz w:val="15"/>
              </w:rPr>
              <w:t>Analytical question</w:t>
            </w:r>
          </w:p>
        </w:tc>
      </w:tr>
      <w:tr>
        <w:tc>
          <w:tcPr>
            <w:tcW w:type="dxa" w:w="5083"/>
            <w:vAlign w:val="top"/>
          </w:tcPr>
          <w:p>
            <w:r>
              <w:rPr>
                <w:sz w:val="14"/>
              </w:rPr>
              <w:t>Threat source</w:t>
            </w:r>
          </w:p>
        </w:tc>
        <w:tc>
          <w:tcPr>
            <w:tcW w:type="dxa" w:w="5083"/>
            <w:vAlign w:val="top"/>
          </w:tcPr>
          <w:p>
            <w:r>
              <w:rPr>
                <w:sz w:val="14"/>
              </w:rPr>
              <w:t>Who or what could intentionally create an adverse event?</w:t>
            </w:r>
          </w:p>
        </w:tc>
      </w:tr>
      <w:tr>
        <w:tc>
          <w:tcPr>
            <w:tcW w:type="dxa" w:w="5083"/>
            <w:vAlign w:val="top"/>
            <w:shd w:fill="F4F7FA"/>
          </w:tcPr>
          <w:p>
            <w:r>
              <w:rPr>
                <w:sz w:val="14"/>
              </w:rPr>
              <w:t>Hazard</w:t>
            </w:r>
          </w:p>
        </w:tc>
        <w:tc>
          <w:tcPr>
            <w:tcW w:type="dxa" w:w="5083"/>
            <w:vAlign w:val="top"/>
            <w:shd w:fill="F4F7FA"/>
          </w:tcPr>
          <w:p>
            <w:r>
              <w:rPr>
                <w:sz w:val="14"/>
              </w:rPr>
              <w:t>What condition has potential to cause degradation or harm?</w:t>
            </w:r>
          </w:p>
        </w:tc>
      </w:tr>
      <w:tr>
        <w:tc>
          <w:tcPr>
            <w:tcW w:type="dxa" w:w="5083"/>
            <w:vAlign w:val="top"/>
          </w:tcPr>
          <w:p>
            <w:r>
              <w:rPr>
                <w:sz w:val="14"/>
              </w:rPr>
              <w:t>Cause</w:t>
            </w:r>
          </w:p>
        </w:tc>
        <w:tc>
          <w:tcPr>
            <w:tcW w:type="dxa" w:w="5083"/>
            <w:vAlign w:val="top"/>
          </w:tcPr>
          <w:p>
            <w:r>
              <w:rPr>
                <w:sz w:val="14"/>
              </w:rPr>
              <w:t>Why did the failure mode occur?</w:t>
            </w:r>
          </w:p>
        </w:tc>
      </w:tr>
      <w:tr>
        <w:tc>
          <w:tcPr>
            <w:tcW w:type="dxa" w:w="5083"/>
            <w:vAlign w:val="top"/>
            <w:shd w:fill="F4F7FA"/>
          </w:tcPr>
          <w:p>
            <w:r>
              <w:rPr>
                <w:sz w:val="14"/>
              </w:rPr>
              <w:t>Failure mode</w:t>
            </w:r>
          </w:p>
        </w:tc>
        <w:tc>
          <w:tcPr>
            <w:tcW w:type="dxa" w:w="5083"/>
            <w:vAlign w:val="top"/>
            <w:shd w:fill="F4F7FA"/>
          </w:tcPr>
          <w:p>
            <w:r>
              <w:rPr>
                <w:sz w:val="14"/>
              </w:rPr>
              <w:t>How did the required function fail?</w:t>
            </w:r>
          </w:p>
        </w:tc>
      </w:tr>
      <w:tr>
        <w:tc>
          <w:tcPr>
            <w:tcW w:type="dxa" w:w="5083"/>
            <w:vAlign w:val="top"/>
          </w:tcPr>
          <w:p>
            <w:r>
              <w:rPr>
                <w:sz w:val="14"/>
              </w:rPr>
              <w:t>Local effect</w:t>
            </w:r>
          </w:p>
        </w:tc>
        <w:tc>
          <w:tcPr>
            <w:tcW w:type="dxa" w:w="5083"/>
            <w:vAlign w:val="top"/>
          </w:tcPr>
          <w:p>
            <w:r>
              <w:rPr>
                <w:sz w:val="14"/>
              </w:rPr>
              <w:t>What occurred at the failed object?</w:t>
            </w:r>
          </w:p>
        </w:tc>
      </w:tr>
      <w:tr>
        <w:tc>
          <w:tcPr>
            <w:tcW w:type="dxa" w:w="5083"/>
            <w:vAlign w:val="top"/>
            <w:shd w:fill="F4F7FA"/>
          </w:tcPr>
          <w:p>
            <w:r>
              <w:rPr>
                <w:sz w:val="14"/>
              </w:rPr>
              <w:t>Propagation</w:t>
            </w:r>
          </w:p>
        </w:tc>
        <w:tc>
          <w:tcPr>
            <w:tcW w:type="dxa" w:w="5083"/>
            <w:vAlign w:val="top"/>
            <w:shd w:fill="F4F7FA"/>
          </w:tcPr>
          <w:p>
            <w:r>
              <w:rPr>
                <w:sz w:val="14"/>
              </w:rPr>
              <w:t>Which dependencies transmitted the effect?</w:t>
            </w:r>
          </w:p>
        </w:tc>
      </w:tr>
      <w:tr>
        <w:tc>
          <w:tcPr>
            <w:tcW w:type="dxa" w:w="5083"/>
            <w:vAlign w:val="top"/>
          </w:tcPr>
          <w:p>
            <w:r>
              <w:rPr>
                <w:sz w:val="14"/>
              </w:rPr>
              <w:t>Consequence</w:t>
            </w:r>
          </w:p>
        </w:tc>
        <w:tc>
          <w:tcPr>
            <w:tcW w:type="dxa" w:w="5083"/>
            <w:vAlign w:val="top"/>
          </w:tcPr>
          <w:p>
            <w:r>
              <w:rPr>
                <w:sz w:val="14"/>
              </w:rPr>
              <w:t>Which Service Outcome or stakeholder interest was affected?</w:t>
            </w:r>
          </w:p>
        </w:tc>
      </w:tr>
      <w:tr>
        <w:tc>
          <w:tcPr>
            <w:tcW w:type="dxa" w:w="5083"/>
            <w:vAlign w:val="top"/>
            <w:shd w:fill="F4F7FA"/>
          </w:tcPr>
          <w:p>
            <w:r>
              <w:rPr>
                <w:sz w:val="14"/>
              </w:rPr>
              <w:t>Safeguard</w:t>
            </w:r>
          </w:p>
        </w:tc>
        <w:tc>
          <w:tcPr>
            <w:tcW w:type="dxa" w:w="5083"/>
            <w:vAlign w:val="top"/>
            <w:shd w:fill="F4F7FA"/>
          </w:tcPr>
          <w:p>
            <w:r>
              <w:rPr>
                <w:sz w:val="14"/>
              </w:rPr>
              <w:t>What anticipates, prevents, detects, contains, recovers or adapts?</w:t>
            </w:r>
          </w:p>
        </w:tc>
      </w:tr>
      <w:tr>
        <w:tc>
          <w:tcPr>
            <w:tcW w:type="dxa" w:w="5083"/>
            <w:vAlign w:val="top"/>
          </w:tcPr>
          <w:p>
            <w:r>
              <w:rPr>
                <w:sz w:val="14"/>
              </w:rPr>
              <w:t>Residual path</w:t>
            </w:r>
          </w:p>
        </w:tc>
        <w:tc>
          <w:tcPr>
            <w:tcW w:type="dxa" w:w="5083"/>
            <w:vAlign w:val="top"/>
          </w:tcPr>
          <w:p>
            <w:r>
              <w:rPr>
                <w:sz w:val="14"/>
              </w:rPr>
              <w:t>What material route remains after safeguards?</w:t>
            </w:r>
          </w:p>
        </w:tc>
      </w:tr>
    </w:tbl>
    <w:p/>
    <w:p>
      <w:r>
        <w:t>AIDCF can consume FMEA/FMECA, fault-tree, event-tree, bow-tie, HAZOP-style and graph-traversal outputs. The framework does not replace competent use of those techniques or applicable engineering and safety requirements.</w:t>
      </w:r>
    </w:p>
    <w:p>
      <w:r/>
    </w:p>
    <w:p>
      <w:pPr>
        <w:pStyle w:val="Heading1"/>
      </w:pPr>
      <w:r>
        <w:t>14. AI-native failure scenarios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Scenario</w:t>
            </w:r>
          </w:p>
        </w:tc>
        <w:tc>
          <w:tcPr>
            <w:tcW w:type="dxa" w:w="3389"/>
            <w:shd w:fill="17365D"/>
            <w:vAlign w:val="center"/>
          </w:tcPr>
          <w:p>
            <w:r>
              <w:rPr>
                <w:b/>
                <w:color w:val="FFFFFF"/>
                <w:sz w:val="15"/>
              </w:rPr>
              <w:t>Failure path</w:t>
            </w:r>
          </w:p>
        </w:tc>
        <w:tc>
          <w:tcPr>
            <w:tcW w:type="dxa" w:w="3389"/>
            <w:shd w:fill="17365D"/>
            <w:vAlign w:val="center"/>
          </w:tcPr>
          <w:p>
            <w:r>
              <w:rPr>
                <w:b/>
                <w:color w:val="FFFFFF"/>
                <w:sz w:val="15"/>
              </w:rPr>
              <w:t>Primary domains</w:t>
            </w:r>
          </w:p>
        </w:tc>
      </w:tr>
      <w:tr>
        <w:tc>
          <w:tcPr>
            <w:tcW w:type="dxa" w:w="3389"/>
            <w:vAlign w:val="top"/>
          </w:tcPr>
          <w:p>
            <w:r>
              <w:rPr>
                <w:sz w:val="14"/>
              </w:rPr>
              <w:t>Accelerator thermal throttling</w:t>
            </w:r>
          </w:p>
        </w:tc>
        <w:tc>
          <w:tcPr>
            <w:tcW w:type="dxa" w:w="3389"/>
            <w:vAlign w:val="top"/>
          </w:tcPr>
          <w:p>
            <w:r>
              <w:rPr>
                <w:sz w:val="14"/>
              </w:rPr>
              <w:t>Liquid-flow degradation -&gt; temperature rise -&gt; frequency reduction -&gt; collective desynchronisation -&gt; checkpoint exposure</w:t>
            </w:r>
          </w:p>
        </w:tc>
        <w:tc>
          <w:tcPr>
            <w:tcW w:type="dxa" w:w="3389"/>
            <w:vAlign w:val="top"/>
          </w:tcPr>
          <w:p>
            <w:r>
              <w:rPr>
                <w:sz w:val="14"/>
              </w:rPr>
              <w:t>THM, CMP, NET, OPS, RES</w:t>
            </w:r>
          </w:p>
        </w:tc>
      </w:tr>
      <w:tr>
        <w:tc>
          <w:tcPr>
            <w:tcW w:type="dxa" w:w="3389"/>
            <w:vAlign w:val="top"/>
            <w:shd w:fill="F4F7FA"/>
          </w:tcPr>
          <w:p>
            <w:r>
              <w:rPr>
                <w:sz w:val="14"/>
              </w:rPr>
              <w:t>Fabric congestion</w:t>
            </w:r>
          </w:p>
        </w:tc>
        <w:tc>
          <w:tcPr>
            <w:tcW w:type="dxa" w:w="3389"/>
            <w:vAlign w:val="top"/>
            <w:shd w:fill="F4F7FA"/>
          </w:tcPr>
          <w:p>
            <w:r>
              <w:rPr>
                <w:sz w:val="14"/>
              </w:rPr>
              <w:t>Oversubscription or path imbalance -&gt; collective latency -&gt; stalled or elongated job</w:t>
            </w:r>
          </w:p>
        </w:tc>
        <w:tc>
          <w:tcPr>
            <w:tcW w:type="dxa" w:w="3389"/>
            <w:vAlign w:val="top"/>
            <w:shd w:fill="F4F7FA"/>
          </w:tcPr>
          <w:p>
            <w:r>
              <w:rPr>
                <w:sz w:val="14"/>
              </w:rPr>
              <w:t>NET, CMP, DEP, OPS</w:t>
            </w:r>
          </w:p>
        </w:tc>
      </w:tr>
      <w:tr>
        <w:tc>
          <w:tcPr>
            <w:tcW w:type="dxa" w:w="3389"/>
            <w:vAlign w:val="top"/>
          </w:tcPr>
          <w:p>
            <w:r>
              <w:rPr>
                <w:sz w:val="14"/>
              </w:rPr>
              <w:t>Checkpoint corruption</w:t>
            </w:r>
          </w:p>
        </w:tc>
        <w:tc>
          <w:tcPr>
            <w:tcW w:type="dxa" w:w="3389"/>
            <w:vAlign w:val="top"/>
          </w:tcPr>
          <w:p>
            <w:r>
              <w:rPr>
                <w:sz w:val="14"/>
              </w:rPr>
              <w:t>Metadata or storage degradation -&gt; apparently successful but unusable recovery point</w:t>
            </w:r>
          </w:p>
        </w:tc>
        <w:tc>
          <w:tcPr>
            <w:tcW w:type="dxa" w:w="3389"/>
            <w:vAlign w:val="top"/>
          </w:tcPr>
          <w:p>
            <w:r>
              <w:rPr>
                <w:sz w:val="14"/>
              </w:rPr>
              <w:t>STO, NET, RES, EVA</w:t>
            </w:r>
          </w:p>
        </w:tc>
      </w:tr>
      <w:tr>
        <w:tc>
          <w:tcPr>
            <w:tcW w:type="dxa" w:w="3389"/>
            <w:vAlign w:val="top"/>
            <w:shd w:fill="F4F7FA"/>
          </w:tcPr>
          <w:p>
            <w:r>
              <w:rPr>
                <w:sz w:val="14"/>
              </w:rPr>
              <w:t>Scheduler collapse</w:t>
            </w:r>
          </w:p>
        </w:tc>
        <w:tc>
          <w:tcPr>
            <w:tcW w:type="dxa" w:w="3389"/>
            <w:vAlign w:val="top"/>
            <w:shd w:fill="F4F7FA"/>
          </w:tcPr>
          <w:p>
            <w:r>
              <w:rPr>
                <w:sz w:val="14"/>
              </w:rPr>
              <w:t>Stale capacity or policy failure -&gt; placement failure despite installed accelerators</w:t>
            </w:r>
          </w:p>
        </w:tc>
        <w:tc>
          <w:tcPr>
            <w:tcW w:type="dxa" w:w="3389"/>
            <w:vAlign w:val="top"/>
            <w:shd w:fill="F4F7FA"/>
          </w:tcPr>
          <w:p>
            <w:r>
              <w:rPr>
                <w:sz w:val="14"/>
              </w:rPr>
              <w:t>CMP, CAP, OPS, SEC</w:t>
            </w:r>
          </w:p>
        </w:tc>
      </w:tr>
      <w:tr>
        <w:tc>
          <w:tcPr>
            <w:tcW w:type="dxa" w:w="3389"/>
            <w:vAlign w:val="top"/>
          </w:tcPr>
          <w:p>
            <w:r>
              <w:rPr>
                <w:sz w:val="14"/>
              </w:rPr>
              <w:t>Inference instability</w:t>
            </w:r>
          </w:p>
        </w:tc>
        <w:tc>
          <w:tcPr>
            <w:tcW w:type="dxa" w:w="3389"/>
            <w:vAlign w:val="top"/>
          </w:tcPr>
          <w:p>
            <w:r>
              <w:rPr>
                <w:sz w:val="14"/>
              </w:rPr>
              <w:t>Load spike, cache miss, fabric or thermal degradation -&gt; tail-latency breach</w:t>
            </w:r>
          </w:p>
        </w:tc>
        <w:tc>
          <w:tcPr>
            <w:tcW w:type="dxa" w:w="3389"/>
            <w:vAlign w:val="top"/>
          </w:tcPr>
          <w:p>
            <w:r>
              <w:rPr>
                <w:sz w:val="14"/>
              </w:rPr>
              <w:t>CAP, CMP, NET, STO, THM</w:t>
            </w:r>
          </w:p>
        </w:tc>
      </w:tr>
      <w:tr>
        <w:tc>
          <w:tcPr>
            <w:tcW w:type="dxa" w:w="3389"/>
            <w:vAlign w:val="top"/>
            <w:shd w:fill="F4F7FA"/>
          </w:tcPr>
          <w:p>
            <w:r>
              <w:rPr>
                <w:sz w:val="14"/>
              </w:rPr>
              <w:t>Sovereign-boundary failure</w:t>
            </w:r>
          </w:p>
        </w:tc>
        <w:tc>
          <w:tcPr>
            <w:tcW w:type="dxa" w:w="3389"/>
            <w:vAlign w:val="top"/>
            <w:shd w:fill="F4F7FA"/>
          </w:tcPr>
          <w:p>
            <w:r>
              <w:rPr>
                <w:sz w:val="14"/>
              </w:rPr>
              <w:t>Remote support or telemetry path -&gt; declared authority or jurisdiction boundary breach</w:t>
            </w:r>
          </w:p>
        </w:tc>
        <w:tc>
          <w:tcPr>
            <w:tcW w:type="dxa" w:w="3389"/>
            <w:vAlign w:val="top"/>
            <w:shd w:fill="F4F7FA"/>
          </w:tcPr>
          <w:p>
            <w:r>
              <w:rPr>
                <w:sz w:val="14"/>
              </w:rPr>
              <w:t>GOV, DEP, SUP, SEC</w:t>
            </w:r>
          </w:p>
        </w:tc>
      </w:tr>
      <w:tr>
        <w:tc>
          <w:tcPr>
            <w:tcW w:type="dxa" w:w="3389"/>
            <w:vAlign w:val="top"/>
          </w:tcPr>
          <w:p>
            <w:r>
              <w:rPr>
                <w:sz w:val="14"/>
              </w:rPr>
              <w:t>AI capacity cliff</w:t>
            </w:r>
          </w:p>
        </w:tc>
        <w:tc>
          <w:tcPr>
            <w:tcW w:type="dxa" w:w="3389"/>
            <w:vAlign w:val="top"/>
          </w:tcPr>
          <w:p>
            <w:r>
              <w:rPr>
                <w:sz w:val="14"/>
              </w:rPr>
              <w:t>Committed demand plus degraded resilient capacity -&gt; insufficient usable headroom</w:t>
            </w:r>
          </w:p>
        </w:tc>
        <w:tc>
          <w:tcPr>
            <w:tcW w:type="dxa" w:w="3389"/>
            <w:vAlign w:val="top"/>
          </w:tcPr>
          <w:p>
            <w:r>
              <w:rPr>
                <w:sz w:val="14"/>
              </w:rPr>
              <w:t>CAP, POW, THM, CMP, NET</w:t>
            </w:r>
          </w:p>
        </w:tc>
      </w:tr>
    </w:tbl>
    <w:p/>
    <w:p>
      <w:r/>
    </w:p>
    <w:p>
      <w:pPr>
        <w:pStyle w:val="Heading1"/>
      </w:pPr>
      <w:r>
        <w:t>15. Safeguards and resilience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Safeguard role</w:t>
            </w:r>
          </w:p>
        </w:tc>
        <w:tc>
          <w:tcPr>
            <w:tcW w:type="dxa" w:w="3389"/>
            <w:shd w:fill="17365D"/>
            <w:vAlign w:val="center"/>
          </w:tcPr>
          <w:p>
            <w:r>
              <w:rPr>
                <w:b/>
                <w:color w:val="FFFFFF"/>
                <w:sz w:val="15"/>
              </w:rPr>
              <w:t>Examples</w:t>
            </w:r>
          </w:p>
        </w:tc>
        <w:tc>
          <w:tcPr>
            <w:tcW w:type="dxa" w:w="3389"/>
            <w:shd w:fill="17365D"/>
            <w:vAlign w:val="center"/>
          </w:tcPr>
          <w:p>
            <w:r>
              <w:rPr>
                <w:b/>
                <w:color w:val="FFFFFF"/>
                <w:sz w:val="15"/>
              </w:rPr>
              <w:t>Evidence focus</w:t>
            </w:r>
          </w:p>
        </w:tc>
      </w:tr>
      <w:tr>
        <w:tc>
          <w:tcPr>
            <w:tcW w:type="dxa" w:w="3389"/>
            <w:vAlign w:val="top"/>
          </w:tcPr>
          <w:p>
            <w:r>
              <w:rPr>
                <w:sz w:val="14"/>
              </w:rPr>
              <w:t>Anticipate</w:t>
            </w:r>
          </w:p>
        </w:tc>
        <w:tc>
          <w:tcPr>
            <w:tcW w:type="dxa" w:w="3389"/>
            <w:vAlign w:val="top"/>
          </w:tcPr>
          <w:p>
            <w:r>
              <w:rPr>
                <w:sz w:val="14"/>
              </w:rPr>
              <w:t>Demand forecasting, trend and concentration review.</w:t>
            </w:r>
          </w:p>
        </w:tc>
        <w:tc>
          <w:tcPr>
            <w:tcW w:type="dxa" w:w="3389"/>
            <w:vAlign w:val="top"/>
          </w:tcPr>
          <w:p>
            <w:r>
              <w:rPr>
                <w:sz w:val="14"/>
              </w:rPr>
              <w:t>Model validity and review.</w:t>
            </w:r>
          </w:p>
        </w:tc>
      </w:tr>
      <w:tr>
        <w:tc>
          <w:tcPr>
            <w:tcW w:type="dxa" w:w="3389"/>
            <w:vAlign w:val="top"/>
            <w:shd w:fill="F4F7FA"/>
          </w:tcPr>
          <w:p>
            <w:r>
              <w:rPr>
                <w:sz w:val="14"/>
              </w:rPr>
              <w:t>Prevent</w:t>
            </w:r>
          </w:p>
        </w:tc>
        <w:tc>
          <w:tcPr>
            <w:tcW w:type="dxa" w:w="3389"/>
            <w:vAlign w:val="top"/>
            <w:shd w:fill="F4F7FA"/>
          </w:tcPr>
          <w:p>
            <w:r>
              <w:rPr>
                <w:sz w:val="14"/>
              </w:rPr>
              <w:t>Redundancy, authority enforcement and environmental control.</w:t>
            </w:r>
          </w:p>
        </w:tc>
        <w:tc>
          <w:tcPr>
            <w:tcW w:type="dxa" w:w="3389"/>
            <w:vAlign w:val="top"/>
            <w:shd w:fill="F4F7FA"/>
          </w:tcPr>
          <w:p>
            <w:r>
              <w:rPr>
                <w:sz w:val="14"/>
              </w:rPr>
              <w:t>Design and implementation.</w:t>
            </w:r>
          </w:p>
        </w:tc>
      </w:tr>
      <w:tr>
        <w:tc>
          <w:tcPr>
            <w:tcW w:type="dxa" w:w="3389"/>
            <w:vAlign w:val="top"/>
          </w:tcPr>
          <w:p>
            <w:r>
              <w:rPr>
                <w:sz w:val="14"/>
              </w:rPr>
              <w:t>Detect</w:t>
            </w:r>
          </w:p>
        </w:tc>
        <w:tc>
          <w:tcPr>
            <w:tcW w:type="dxa" w:w="3389"/>
            <w:vAlign w:val="top"/>
          </w:tcPr>
          <w:p>
            <w:r>
              <w:rPr>
                <w:sz w:val="14"/>
              </w:rPr>
              <w:t>Telemetry, alarms, anomaly detection and integrity checks.</w:t>
            </w:r>
          </w:p>
        </w:tc>
        <w:tc>
          <w:tcPr>
            <w:tcW w:type="dxa" w:w="3389"/>
            <w:vAlign w:val="top"/>
          </w:tcPr>
          <w:p>
            <w:r>
              <w:rPr>
                <w:sz w:val="14"/>
              </w:rPr>
              <w:t>Coverage, source health and latency.</w:t>
            </w:r>
          </w:p>
        </w:tc>
      </w:tr>
      <w:tr>
        <w:tc>
          <w:tcPr>
            <w:tcW w:type="dxa" w:w="3389"/>
            <w:vAlign w:val="top"/>
            <w:shd w:fill="F4F7FA"/>
          </w:tcPr>
          <w:p>
            <w:r>
              <w:rPr>
                <w:sz w:val="14"/>
              </w:rPr>
              <w:t>Contain</w:t>
            </w:r>
          </w:p>
        </w:tc>
        <w:tc>
          <w:tcPr>
            <w:tcW w:type="dxa" w:w="3389"/>
            <w:vAlign w:val="top"/>
            <w:shd w:fill="F4F7FA"/>
          </w:tcPr>
          <w:p>
            <w:r>
              <w:rPr>
                <w:sz w:val="14"/>
              </w:rPr>
              <w:t>Fault isolation, segmentation, safe load reduction and leak isolation.</w:t>
            </w:r>
          </w:p>
        </w:tc>
        <w:tc>
          <w:tcPr>
            <w:tcW w:type="dxa" w:w="3389"/>
            <w:vAlign w:val="top"/>
            <w:shd w:fill="F4F7FA"/>
          </w:tcPr>
          <w:p>
            <w:r>
              <w:rPr>
                <w:sz w:val="14"/>
              </w:rPr>
              <w:t>Activation and effectiveness.</w:t>
            </w:r>
          </w:p>
        </w:tc>
      </w:tr>
      <w:tr>
        <w:tc>
          <w:tcPr>
            <w:tcW w:type="dxa" w:w="3389"/>
            <w:vAlign w:val="top"/>
          </w:tcPr>
          <w:p>
            <w:r>
              <w:rPr>
                <w:sz w:val="14"/>
              </w:rPr>
              <w:t>Recover</w:t>
            </w:r>
          </w:p>
        </w:tc>
        <w:tc>
          <w:tcPr>
            <w:tcW w:type="dxa" w:w="3389"/>
            <w:vAlign w:val="top"/>
          </w:tcPr>
          <w:p>
            <w:r>
              <w:rPr>
                <w:sz w:val="14"/>
              </w:rPr>
              <w:t>Restore configuration, capacity, data and service.</w:t>
            </w:r>
          </w:p>
        </w:tc>
        <w:tc>
          <w:tcPr>
            <w:tcW w:type="dxa" w:w="3389"/>
            <w:vAlign w:val="top"/>
          </w:tcPr>
          <w:p>
            <w:r>
              <w:rPr>
                <w:sz w:val="14"/>
              </w:rPr>
              <w:t>Sequencing, elapsed time and proof of outcome.</w:t>
            </w:r>
          </w:p>
        </w:tc>
      </w:tr>
      <w:tr>
        <w:tc>
          <w:tcPr>
            <w:tcW w:type="dxa" w:w="3389"/>
            <w:vAlign w:val="top"/>
            <w:shd w:fill="F4F7FA"/>
          </w:tcPr>
          <w:p>
            <w:r>
              <w:rPr>
                <w:sz w:val="14"/>
              </w:rPr>
              <w:t>Adapt</w:t>
            </w:r>
          </w:p>
        </w:tc>
        <w:tc>
          <w:tcPr>
            <w:tcW w:type="dxa" w:w="3389"/>
            <w:vAlign w:val="top"/>
            <w:shd w:fill="F4F7FA"/>
          </w:tcPr>
          <w:p>
            <w:r>
              <w:rPr>
                <w:sz w:val="14"/>
              </w:rPr>
              <w:t>Architecture, procedure and operating-envelope change.</w:t>
            </w:r>
          </w:p>
        </w:tc>
        <w:tc>
          <w:tcPr>
            <w:tcW w:type="dxa" w:w="3389"/>
            <w:vAlign w:val="top"/>
            <w:shd w:fill="F4F7FA"/>
          </w:tcPr>
          <w:p>
            <w:r>
              <w:rPr>
                <w:sz w:val="14"/>
              </w:rPr>
              <w:t>Approved change and supersession.</w:t>
            </w:r>
          </w:p>
        </w:tc>
      </w:tr>
    </w:tbl>
    <w:p/>
    <w:p>
      <w:r>
        <w:t>A standby mechanism is not an effective safeguard if it depends on the failed controller, lacks capacity, cannot activate in time or creates an unsafe restoration path.</w:t>
      </w:r>
    </w:p>
    <w:p>
      <w:r/>
    </w:p>
    <w:p>
      <w:pPr>
        <w:pStyle w:val="Heading1"/>
      </w:pPr>
      <w:r>
        <w:t>16. Evidence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Dimension</w:t>
            </w:r>
          </w:p>
        </w:tc>
        <w:tc>
          <w:tcPr>
            <w:tcW w:type="dxa" w:w="5083"/>
            <w:shd w:fill="17365D"/>
            <w:vAlign w:val="center"/>
          </w:tcPr>
          <w:p>
            <w:r>
              <w:rPr>
                <w:b/>
                <w:color w:val="FFFFFF"/>
                <w:sz w:val="15"/>
              </w:rPr>
              <w:t>Assessment question</w:t>
            </w:r>
          </w:p>
        </w:tc>
      </w:tr>
      <w:tr>
        <w:tc>
          <w:tcPr>
            <w:tcW w:type="dxa" w:w="5083"/>
            <w:vAlign w:val="top"/>
          </w:tcPr>
          <w:p>
            <w:r>
              <w:rPr>
                <w:sz w:val="14"/>
              </w:rPr>
              <w:t>Provenance</w:t>
            </w:r>
          </w:p>
        </w:tc>
        <w:tc>
          <w:tcPr>
            <w:tcW w:type="dxa" w:w="5083"/>
            <w:vAlign w:val="top"/>
          </w:tcPr>
          <w:p>
            <w:r>
              <w:rPr>
                <w:sz w:val="14"/>
              </w:rPr>
              <w:t>Can source and lineage be identified?</w:t>
            </w:r>
          </w:p>
        </w:tc>
      </w:tr>
      <w:tr>
        <w:tc>
          <w:tcPr>
            <w:tcW w:type="dxa" w:w="5083"/>
            <w:vAlign w:val="top"/>
            <w:shd w:fill="F4F7FA"/>
          </w:tcPr>
          <w:p>
            <w:r>
              <w:rPr>
                <w:sz w:val="14"/>
              </w:rPr>
              <w:t>Freshness</w:t>
            </w:r>
          </w:p>
        </w:tc>
        <w:tc>
          <w:tcPr>
            <w:tcW w:type="dxa" w:w="5083"/>
            <w:vAlign w:val="top"/>
            <w:shd w:fill="F4F7FA"/>
          </w:tcPr>
          <w:p>
            <w:r>
              <w:rPr>
                <w:sz w:val="14"/>
              </w:rPr>
              <w:t>Does evidence represent the relevant state and period?</w:t>
            </w:r>
          </w:p>
        </w:tc>
      </w:tr>
      <w:tr>
        <w:tc>
          <w:tcPr>
            <w:tcW w:type="dxa" w:w="5083"/>
            <w:vAlign w:val="top"/>
          </w:tcPr>
          <w:p>
            <w:r>
              <w:rPr>
                <w:sz w:val="14"/>
              </w:rPr>
              <w:t>Coverage</w:t>
            </w:r>
          </w:p>
        </w:tc>
        <w:tc>
          <w:tcPr>
            <w:tcW w:type="dxa" w:w="5083"/>
            <w:vAlign w:val="top"/>
          </w:tcPr>
          <w:p>
            <w:r>
              <w:rPr>
                <w:sz w:val="14"/>
              </w:rPr>
              <w:t>Does it cover the required population, path, state and time?</w:t>
            </w:r>
          </w:p>
        </w:tc>
      </w:tr>
      <w:tr>
        <w:tc>
          <w:tcPr>
            <w:tcW w:type="dxa" w:w="5083"/>
            <w:vAlign w:val="top"/>
            <w:shd w:fill="F4F7FA"/>
          </w:tcPr>
          <w:p>
            <w:r>
              <w:rPr>
                <w:sz w:val="14"/>
              </w:rPr>
              <w:t>Reliability</w:t>
            </w:r>
          </w:p>
        </w:tc>
        <w:tc>
          <w:tcPr>
            <w:tcW w:type="dxa" w:w="5083"/>
            <w:vAlign w:val="top"/>
            <w:shd w:fill="F4F7FA"/>
          </w:tcPr>
          <w:p>
            <w:r>
              <w:rPr>
                <w:sz w:val="14"/>
              </w:rPr>
              <w:t>Was it produced by a controlled and repeatable method?</w:t>
            </w:r>
          </w:p>
        </w:tc>
      </w:tr>
      <w:tr>
        <w:tc>
          <w:tcPr>
            <w:tcW w:type="dxa" w:w="5083"/>
            <w:vAlign w:val="top"/>
          </w:tcPr>
          <w:p>
            <w:r>
              <w:rPr>
                <w:sz w:val="14"/>
              </w:rPr>
              <w:t>Traceability</w:t>
            </w:r>
          </w:p>
        </w:tc>
        <w:tc>
          <w:tcPr>
            <w:tcW w:type="dxa" w:w="5083"/>
            <w:vAlign w:val="top"/>
          </w:tcPr>
          <w:p>
            <w:r>
              <w:rPr>
                <w:sz w:val="14"/>
              </w:rPr>
              <w:t>Can it be linked to assertion, finding, gate and decision?</w:t>
            </w:r>
          </w:p>
        </w:tc>
      </w:tr>
      <w:tr>
        <w:tc>
          <w:tcPr>
            <w:tcW w:type="dxa" w:w="5083"/>
            <w:vAlign w:val="top"/>
            <w:shd w:fill="F4F7FA"/>
          </w:tcPr>
          <w:p>
            <w:r>
              <w:rPr>
                <w:sz w:val="14"/>
              </w:rPr>
              <w:t>Integrity</w:t>
            </w:r>
          </w:p>
        </w:tc>
        <w:tc>
          <w:tcPr>
            <w:tcW w:type="dxa" w:w="5083"/>
            <w:vAlign w:val="top"/>
            <w:shd w:fill="F4F7FA"/>
          </w:tcPr>
          <w:p>
            <w:r>
              <w:rPr>
                <w:sz w:val="14"/>
              </w:rPr>
              <w:t>Is inappropriate alteration detectable and custody controlled?</w:t>
            </w:r>
          </w:p>
        </w:tc>
      </w:tr>
      <w:tr>
        <w:tc>
          <w:tcPr>
            <w:tcW w:type="dxa" w:w="5083"/>
            <w:vAlign w:val="top"/>
          </w:tcPr>
          <w:p>
            <w:r>
              <w:rPr>
                <w:sz w:val="14"/>
              </w:rPr>
              <w:t>Sufficiency</w:t>
            </w:r>
          </w:p>
        </w:tc>
        <w:tc>
          <w:tcPr>
            <w:tcW w:type="dxa" w:w="5083"/>
            <w:vAlign w:val="top"/>
          </w:tcPr>
          <w:p>
            <w:r>
              <w:rPr>
                <w:sz w:val="14"/>
              </w:rPr>
              <w:t>Is the evidence set adequate for the decision and assurance depth?</w:t>
            </w:r>
          </w:p>
        </w:tc>
      </w:tr>
    </w:tbl>
    <w:p/>
    <w:p>
      <w:r>
        <w:t>Evidence is assertion-specific. A signed design supports intent but not necessarily implementation. Telemetry can support current operation but not historical commissioning. A test can support one state or scenario without proving all conditions. AI-assisted extraction or summarisation creates candidate evidence only; it does not independently corroborate its source.</w:t>
      </w:r>
    </w:p>
    <w:p>
      <w:r/>
    </w:p>
    <w:p>
      <w:pPr>
        <w:pStyle w:val="Heading1"/>
      </w:pPr>
      <w:r>
        <w:t>17. Assessment methodology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Stage</w:t>
            </w:r>
          </w:p>
        </w:tc>
        <w:tc>
          <w:tcPr>
            <w:tcW w:type="dxa" w:w="5083"/>
            <w:shd w:fill="17365D"/>
            <w:vAlign w:val="center"/>
          </w:tcPr>
          <w:p>
            <w:r>
              <w:rPr>
                <w:b/>
                <w:color w:val="FFFFFF"/>
                <w:sz w:val="15"/>
              </w:rPr>
              <w:t>Key output</w:t>
            </w:r>
          </w:p>
        </w:tc>
      </w:tr>
      <w:tr>
        <w:tc>
          <w:tcPr>
            <w:tcW w:type="dxa" w:w="5083"/>
            <w:vAlign w:val="top"/>
          </w:tcPr>
          <w:p>
            <w:r>
              <w:rPr>
                <w:sz w:val="14"/>
              </w:rPr>
              <w:t>Initiate</w:t>
            </w:r>
          </w:p>
        </w:tc>
        <w:tc>
          <w:tcPr>
            <w:tcW w:type="dxa" w:w="5083"/>
            <w:vAlign w:val="top"/>
          </w:tcPr>
          <w:p>
            <w:r>
              <w:rPr>
                <w:sz w:val="14"/>
              </w:rPr>
              <w:t>Decision question, sponsor, users and charter.</w:t>
            </w:r>
          </w:p>
        </w:tc>
      </w:tr>
      <w:tr>
        <w:tc>
          <w:tcPr>
            <w:tcW w:type="dxa" w:w="5083"/>
            <w:vAlign w:val="top"/>
            <w:shd w:fill="F4F7FA"/>
          </w:tcPr>
          <w:p>
            <w:r>
              <w:rPr>
                <w:sz w:val="14"/>
              </w:rPr>
              <w:t>Profile</w:t>
            </w:r>
          </w:p>
        </w:tc>
        <w:tc>
          <w:tcPr>
            <w:tcW w:type="dxa" w:w="5083"/>
            <w:vAlign w:val="top"/>
            <w:shd w:fill="F4F7FA"/>
          </w:tcPr>
          <w:p>
            <w:r>
              <w:rPr>
                <w:sz w:val="14"/>
              </w:rPr>
              <w:t>Capability, Service Outcomes, architecture and operating envelope.</w:t>
            </w:r>
          </w:p>
        </w:tc>
      </w:tr>
      <w:tr>
        <w:tc>
          <w:tcPr>
            <w:tcW w:type="dxa" w:w="5083"/>
            <w:vAlign w:val="top"/>
          </w:tcPr>
          <w:p>
            <w:r>
              <w:rPr>
                <w:sz w:val="14"/>
              </w:rPr>
              <w:t>Scope</w:t>
            </w:r>
          </w:p>
        </w:tc>
        <w:tc>
          <w:tcPr>
            <w:tcW w:type="dxa" w:w="5083"/>
            <w:vAlign w:val="top"/>
          </w:tcPr>
          <w:p>
            <w:r>
              <w:rPr>
                <w:sz w:val="14"/>
              </w:rPr>
              <w:t>Boundary, dependencies, states, criteria and exclusions.</w:t>
            </w:r>
          </w:p>
        </w:tc>
      </w:tr>
      <w:tr>
        <w:tc>
          <w:tcPr>
            <w:tcW w:type="dxa" w:w="5083"/>
            <w:vAlign w:val="top"/>
            <w:shd w:fill="F4F7FA"/>
          </w:tcPr>
          <w:p>
            <w:r>
              <w:rPr>
                <w:sz w:val="14"/>
              </w:rPr>
              <w:t>Tailor</w:t>
            </w:r>
          </w:p>
        </w:tc>
        <w:tc>
          <w:tcPr>
            <w:tcW w:type="dxa" w:w="5083"/>
            <w:vAlign w:val="top"/>
            <w:shd w:fill="F4F7FA"/>
          </w:tcPr>
          <w:p>
            <w:r>
              <w:rPr>
                <w:sz w:val="14"/>
              </w:rPr>
              <w:t>Applicable controls, gates, evidence and assurance depth.</w:t>
            </w:r>
          </w:p>
        </w:tc>
      </w:tr>
      <w:tr>
        <w:tc>
          <w:tcPr>
            <w:tcW w:type="dxa" w:w="5083"/>
            <w:vAlign w:val="top"/>
          </w:tcPr>
          <w:p>
            <w:r>
              <w:rPr>
                <w:sz w:val="14"/>
              </w:rPr>
              <w:t>Plan</w:t>
            </w:r>
          </w:p>
        </w:tc>
        <w:tc>
          <w:tcPr>
            <w:tcW w:type="dxa" w:w="5083"/>
            <w:vAlign w:val="top"/>
          </w:tcPr>
          <w:p>
            <w:r>
              <w:rPr>
                <w:sz w:val="14"/>
              </w:rPr>
              <w:t>Methods, sampling, tests, safety and review.</w:t>
            </w:r>
          </w:p>
        </w:tc>
      </w:tr>
      <w:tr>
        <w:tc>
          <w:tcPr>
            <w:tcW w:type="dxa" w:w="5083"/>
            <w:vAlign w:val="top"/>
            <w:shd w:fill="F4F7FA"/>
          </w:tcPr>
          <w:p>
            <w:r>
              <w:rPr>
                <w:sz w:val="14"/>
              </w:rPr>
              <w:t>Collect</w:t>
            </w:r>
          </w:p>
        </w:tc>
        <w:tc>
          <w:tcPr>
            <w:tcW w:type="dxa" w:w="5083"/>
            <w:vAlign w:val="top"/>
            <w:shd w:fill="F4F7FA"/>
          </w:tcPr>
          <w:p>
            <w:r>
              <w:rPr>
                <w:sz w:val="14"/>
              </w:rPr>
              <w:t>Controlled Evidence Objects and restrictions.</w:t>
            </w:r>
          </w:p>
        </w:tc>
      </w:tr>
      <w:tr>
        <w:tc>
          <w:tcPr>
            <w:tcW w:type="dxa" w:w="5083"/>
            <w:vAlign w:val="top"/>
          </w:tcPr>
          <w:p>
            <w:r>
              <w:rPr>
                <w:sz w:val="14"/>
              </w:rPr>
              <w:t>Validate</w:t>
            </w:r>
          </w:p>
        </w:tc>
        <w:tc>
          <w:tcPr>
            <w:tcW w:type="dxa" w:w="5083"/>
            <w:vAlign w:val="top"/>
          </w:tcPr>
          <w:p>
            <w:r>
              <w:rPr>
                <w:sz w:val="14"/>
              </w:rPr>
              <w:t>Provenance, integrity, freshness, coverage and sufficiency.</w:t>
            </w:r>
          </w:p>
        </w:tc>
      </w:tr>
      <w:tr>
        <w:tc>
          <w:tcPr>
            <w:tcW w:type="dxa" w:w="5083"/>
            <w:vAlign w:val="top"/>
            <w:shd w:fill="F4F7FA"/>
          </w:tcPr>
          <w:p>
            <w:r>
              <w:rPr>
                <w:sz w:val="14"/>
              </w:rPr>
              <w:t>Assess</w:t>
            </w:r>
          </w:p>
        </w:tc>
        <w:tc>
          <w:tcPr>
            <w:tcW w:type="dxa" w:w="5083"/>
            <w:vAlign w:val="top"/>
            <w:shd w:fill="F4F7FA"/>
          </w:tcPr>
          <w:p>
            <w:r>
              <w:rPr>
                <w:sz w:val="14"/>
              </w:rPr>
              <w:t>Control, safeguard, scenario and domain results.</w:t>
            </w:r>
          </w:p>
        </w:tc>
      </w:tr>
      <w:tr>
        <w:tc>
          <w:tcPr>
            <w:tcW w:type="dxa" w:w="5083"/>
            <w:vAlign w:val="top"/>
          </w:tcPr>
          <w:p>
            <w:r>
              <w:rPr>
                <w:sz w:val="14"/>
              </w:rPr>
              <w:t>Analyse</w:t>
            </w:r>
          </w:p>
        </w:tc>
        <w:tc>
          <w:tcPr>
            <w:tcW w:type="dxa" w:w="5083"/>
            <w:vAlign w:val="top"/>
          </w:tcPr>
          <w:p>
            <w:r>
              <w:rPr>
                <w:sz w:val="14"/>
              </w:rPr>
              <w:t>Propagation, common mode, concentration and residual paths.</w:t>
            </w:r>
          </w:p>
        </w:tc>
      </w:tr>
      <w:tr>
        <w:tc>
          <w:tcPr>
            <w:tcW w:type="dxa" w:w="5083"/>
            <w:vAlign w:val="top"/>
            <w:shd w:fill="F4F7FA"/>
          </w:tcPr>
          <w:p>
            <w:r>
              <w:rPr>
                <w:sz w:val="14"/>
              </w:rPr>
              <w:t>Gate</w:t>
            </w:r>
          </w:p>
        </w:tc>
        <w:tc>
          <w:tcPr>
            <w:tcW w:type="dxa" w:w="5083"/>
            <w:vAlign w:val="top"/>
            <w:shd w:fill="F4F7FA"/>
          </w:tcPr>
          <w:p>
            <w:r>
              <w:rPr>
                <w:sz w:val="14"/>
              </w:rPr>
              <w:t>Applicable CG-01 through CG-15.</w:t>
            </w:r>
          </w:p>
        </w:tc>
      </w:tr>
      <w:tr>
        <w:tc>
          <w:tcPr>
            <w:tcW w:type="dxa" w:w="5083"/>
            <w:vAlign w:val="top"/>
          </w:tcPr>
          <w:p>
            <w:r>
              <w:rPr>
                <w:sz w:val="14"/>
              </w:rPr>
              <w:t>Find</w:t>
            </w:r>
          </w:p>
        </w:tc>
        <w:tc>
          <w:tcPr>
            <w:tcW w:type="dxa" w:w="5083"/>
            <w:vAlign w:val="top"/>
          </w:tcPr>
          <w:p>
            <w:r>
              <w:rPr>
                <w:sz w:val="14"/>
              </w:rPr>
              <w:t>Findings, UNKNOWN, limitations and recommendations.</w:t>
            </w:r>
          </w:p>
        </w:tc>
      </w:tr>
      <w:tr>
        <w:tc>
          <w:tcPr>
            <w:tcW w:type="dxa" w:w="5083"/>
            <w:vAlign w:val="top"/>
            <w:shd w:fill="F4F7FA"/>
          </w:tcPr>
          <w:p>
            <w:r>
              <w:rPr>
                <w:sz w:val="14"/>
              </w:rPr>
              <w:t>Review</w:t>
            </w:r>
          </w:p>
        </w:tc>
        <w:tc>
          <w:tcPr>
            <w:tcW w:type="dxa" w:w="5083"/>
            <w:vAlign w:val="top"/>
            <w:shd w:fill="F4F7FA"/>
          </w:tcPr>
          <w:p>
            <w:r>
              <w:rPr>
                <w:sz w:val="14"/>
              </w:rPr>
              <w:t>Technical and independent challenge.</w:t>
            </w:r>
          </w:p>
        </w:tc>
      </w:tr>
      <w:tr>
        <w:tc>
          <w:tcPr>
            <w:tcW w:type="dxa" w:w="5083"/>
            <w:vAlign w:val="top"/>
          </w:tcPr>
          <w:p>
            <w:r>
              <w:rPr>
                <w:sz w:val="14"/>
              </w:rPr>
              <w:t>Decide</w:t>
            </w:r>
          </w:p>
        </w:tc>
        <w:tc>
          <w:tcPr>
            <w:tcW w:type="dxa" w:w="5083"/>
            <w:vAlign w:val="top"/>
          </w:tcPr>
          <w:p>
            <w:r>
              <w:rPr>
                <w:sz w:val="14"/>
              </w:rPr>
              <w:t>Bounded Assurance Decision.</w:t>
            </w:r>
          </w:p>
        </w:tc>
      </w:tr>
      <w:tr>
        <w:tc>
          <w:tcPr>
            <w:tcW w:type="dxa" w:w="5083"/>
            <w:vAlign w:val="top"/>
            <w:shd w:fill="F4F7FA"/>
          </w:tcPr>
          <w:p>
            <w:r>
              <w:rPr>
                <w:sz w:val="14"/>
              </w:rPr>
              <w:t>Report</w:t>
            </w:r>
          </w:p>
        </w:tc>
        <w:tc>
          <w:tcPr>
            <w:tcW w:type="dxa" w:w="5083"/>
            <w:vAlign w:val="top"/>
            <w:shd w:fill="F4F7FA"/>
          </w:tcPr>
          <w:p>
            <w:r>
              <w:rPr>
                <w:sz w:val="14"/>
              </w:rPr>
              <w:t>Executive, technical and machine-readable packages.</w:t>
            </w:r>
          </w:p>
        </w:tc>
      </w:tr>
      <w:tr>
        <w:tc>
          <w:tcPr>
            <w:tcW w:type="dxa" w:w="5083"/>
            <w:vAlign w:val="top"/>
          </w:tcPr>
          <w:p>
            <w:r>
              <w:rPr>
                <w:sz w:val="14"/>
              </w:rPr>
              <w:t>Reassess</w:t>
            </w:r>
          </w:p>
        </w:tc>
        <w:tc>
          <w:tcPr>
            <w:tcW w:type="dxa" w:w="5083"/>
            <w:vAlign w:val="top"/>
          </w:tcPr>
          <w:p>
            <w:r>
              <w:rPr>
                <w:sz w:val="14"/>
              </w:rPr>
              <w:t>Change, incident, expiry and supersession.</w:t>
            </w:r>
          </w:p>
        </w:tc>
      </w:tr>
    </w:tbl>
    <w:p/>
    <w:p>
      <w:r/>
    </w:p>
    <w:p>
      <w:pPr>
        <w:pStyle w:val="Heading1"/>
      </w:pPr>
      <w:r>
        <w:t>18. Critical gates and governance</w:t>
      </w:r>
    </w:p>
    <w:p>
      <w:r>
        <w:t>Gate identity and domain mappings are canonical in the registry. The explanatory names and decision effects below are public-review profiles, not replacements for the controlled gate registry. They must be approved through AIDCF governance before being called canonical gate definitions.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Gate</w:t>
            </w:r>
          </w:p>
        </w:tc>
        <w:tc>
          <w:tcPr>
            <w:tcW w:type="dxa" w:w="5083"/>
            <w:shd w:fill="17365D"/>
            <w:vAlign w:val="center"/>
          </w:tcPr>
          <w:p>
            <w:r>
              <w:rPr>
                <w:b/>
                <w:color w:val="FFFFFF"/>
                <w:sz w:val="15"/>
              </w:rPr>
              <w:t>Proposed explanatory profile</w:t>
            </w:r>
          </w:p>
        </w:tc>
      </w:tr>
      <w:tr>
        <w:tc>
          <w:tcPr>
            <w:tcW w:type="dxa" w:w="5083"/>
            <w:vAlign w:val="top"/>
          </w:tcPr>
          <w:p>
            <w:r>
              <w:rPr>
                <w:sz w:val="14"/>
              </w:rPr>
              <w:t>CG-01</w:t>
            </w:r>
          </w:p>
        </w:tc>
        <w:tc>
          <w:tcPr>
            <w:tcW w:type="dxa" w:w="5083"/>
            <w:vAlign w:val="top"/>
          </w:tcPr>
          <w:p>
            <w:r>
              <w:rPr>
                <w:sz w:val="14"/>
              </w:rPr>
              <w:t>Capability definition</w:t>
            </w:r>
          </w:p>
        </w:tc>
      </w:tr>
      <w:tr>
        <w:tc>
          <w:tcPr>
            <w:tcW w:type="dxa" w:w="5083"/>
            <w:vAlign w:val="top"/>
            <w:shd w:fill="F4F7FA"/>
          </w:tcPr>
          <w:p>
            <w:r>
              <w:rPr>
                <w:sz w:val="14"/>
              </w:rPr>
              <w:t>CG-02</w:t>
            </w:r>
          </w:p>
        </w:tc>
        <w:tc>
          <w:tcPr>
            <w:tcW w:type="dxa" w:w="5083"/>
            <w:vAlign w:val="top"/>
            <w:shd w:fill="F4F7FA"/>
          </w:tcPr>
          <w:p>
            <w:r>
              <w:rPr>
                <w:sz w:val="14"/>
              </w:rPr>
              <w:t>Boundary and operating envelope</w:t>
            </w:r>
          </w:p>
        </w:tc>
      </w:tr>
      <w:tr>
        <w:tc>
          <w:tcPr>
            <w:tcW w:type="dxa" w:w="5083"/>
            <w:vAlign w:val="top"/>
          </w:tcPr>
          <w:p>
            <w:r>
              <w:rPr>
                <w:sz w:val="14"/>
              </w:rPr>
              <w:t>CG-03</w:t>
            </w:r>
          </w:p>
        </w:tc>
        <w:tc>
          <w:tcPr>
            <w:tcW w:type="dxa" w:w="5083"/>
            <w:vAlign w:val="top"/>
          </w:tcPr>
          <w:p>
            <w:r>
              <w:rPr>
                <w:sz w:val="14"/>
              </w:rPr>
              <w:t>Dependency and provider confidence</w:t>
            </w:r>
          </w:p>
        </w:tc>
      </w:tr>
      <w:tr>
        <w:tc>
          <w:tcPr>
            <w:tcW w:type="dxa" w:w="5083"/>
            <w:vAlign w:val="top"/>
            <w:shd w:fill="F4F7FA"/>
          </w:tcPr>
          <w:p>
            <w:r>
              <w:rPr>
                <w:sz w:val="14"/>
              </w:rPr>
              <w:t>CG-04</w:t>
            </w:r>
          </w:p>
        </w:tc>
        <w:tc>
          <w:tcPr>
            <w:tcW w:type="dxa" w:w="5083"/>
            <w:vAlign w:val="top"/>
            <w:shd w:fill="F4F7FA"/>
          </w:tcPr>
          <w:p>
            <w:r>
              <w:rPr>
                <w:sz w:val="14"/>
              </w:rPr>
              <w:t>Physical and environmental suitability</w:t>
            </w:r>
          </w:p>
        </w:tc>
      </w:tr>
      <w:tr>
        <w:tc>
          <w:tcPr>
            <w:tcW w:type="dxa" w:w="5083"/>
            <w:vAlign w:val="top"/>
          </w:tcPr>
          <w:p>
            <w:r>
              <w:rPr>
                <w:sz w:val="14"/>
              </w:rPr>
              <w:t>CG-05</w:t>
            </w:r>
          </w:p>
        </w:tc>
        <w:tc>
          <w:tcPr>
            <w:tcW w:type="dxa" w:w="5083"/>
            <w:vAlign w:val="top"/>
          </w:tcPr>
          <w:p>
            <w:r>
              <w:rPr>
                <w:sz w:val="14"/>
              </w:rPr>
              <w:t>Electrical continuity</w:t>
            </w:r>
          </w:p>
        </w:tc>
      </w:tr>
      <w:tr>
        <w:tc>
          <w:tcPr>
            <w:tcW w:type="dxa" w:w="5083"/>
            <w:vAlign w:val="top"/>
            <w:shd w:fill="F4F7FA"/>
          </w:tcPr>
          <w:p>
            <w:r>
              <w:rPr>
                <w:sz w:val="14"/>
              </w:rPr>
              <w:t>CG-06</w:t>
            </w:r>
          </w:p>
        </w:tc>
        <w:tc>
          <w:tcPr>
            <w:tcW w:type="dxa" w:w="5083"/>
            <w:vAlign w:val="top"/>
            <w:shd w:fill="F4F7FA"/>
          </w:tcPr>
          <w:p>
            <w:r>
              <w:rPr>
                <w:sz w:val="14"/>
              </w:rPr>
              <w:t>Thermal and fluid continuity</w:t>
            </w:r>
          </w:p>
        </w:tc>
      </w:tr>
      <w:tr>
        <w:tc>
          <w:tcPr>
            <w:tcW w:type="dxa" w:w="5083"/>
            <w:vAlign w:val="top"/>
          </w:tcPr>
          <w:p>
            <w:r>
              <w:rPr>
                <w:sz w:val="14"/>
              </w:rPr>
              <w:t>CG-07</w:t>
            </w:r>
          </w:p>
        </w:tc>
        <w:tc>
          <w:tcPr>
            <w:tcW w:type="dxa" w:w="5083"/>
            <w:vAlign w:val="top"/>
          </w:tcPr>
          <w:p>
            <w:r>
              <w:rPr>
                <w:sz w:val="14"/>
              </w:rPr>
              <w:t>Operational and control authority</w:t>
            </w:r>
          </w:p>
        </w:tc>
      </w:tr>
      <w:tr>
        <w:tc>
          <w:tcPr>
            <w:tcW w:type="dxa" w:w="5083"/>
            <w:vAlign w:val="top"/>
            <w:shd w:fill="F4F7FA"/>
          </w:tcPr>
          <w:p>
            <w:r>
              <w:rPr>
                <w:sz w:val="14"/>
              </w:rPr>
              <w:t>CG-08</w:t>
            </w:r>
          </w:p>
        </w:tc>
        <w:tc>
          <w:tcPr>
            <w:tcW w:type="dxa" w:w="5083"/>
            <w:vAlign w:val="top"/>
            <w:shd w:fill="F4F7FA"/>
          </w:tcPr>
          <w:p>
            <w:r>
              <w:rPr>
                <w:sz w:val="14"/>
              </w:rPr>
              <w:t>AI technology service-chain integrity</w:t>
            </w:r>
          </w:p>
        </w:tc>
      </w:tr>
      <w:tr>
        <w:tc>
          <w:tcPr>
            <w:tcW w:type="dxa" w:w="5083"/>
            <w:vAlign w:val="top"/>
          </w:tcPr>
          <w:p>
            <w:r>
              <w:rPr>
                <w:sz w:val="14"/>
              </w:rPr>
              <w:t>CG-09</w:t>
            </w:r>
          </w:p>
        </w:tc>
        <w:tc>
          <w:tcPr>
            <w:tcW w:type="dxa" w:w="5083"/>
            <w:vAlign w:val="top"/>
          </w:tcPr>
          <w:p>
            <w:r>
              <w:rPr>
                <w:sz w:val="14"/>
              </w:rPr>
              <w:t>Containment and resilience</w:t>
            </w:r>
          </w:p>
        </w:tc>
      </w:tr>
      <w:tr>
        <w:tc>
          <w:tcPr>
            <w:tcW w:type="dxa" w:w="5083"/>
            <w:vAlign w:val="top"/>
            <w:shd w:fill="F4F7FA"/>
          </w:tcPr>
          <w:p>
            <w:r>
              <w:rPr>
                <w:sz w:val="14"/>
              </w:rPr>
              <w:t>CG-10</w:t>
            </w:r>
          </w:p>
        </w:tc>
        <w:tc>
          <w:tcPr>
            <w:tcW w:type="dxa" w:w="5083"/>
            <w:vAlign w:val="top"/>
            <w:shd w:fill="F4F7FA"/>
          </w:tcPr>
          <w:p>
            <w:r>
              <w:rPr>
                <w:sz w:val="14"/>
              </w:rPr>
              <w:t>Recovery and restoration</w:t>
            </w:r>
          </w:p>
        </w:tc>
      </w:tr>
      <w:tr>
        <w:tc>
          <w:tcPr>
            <w:tcW w:type="dxa" w:w="5083"/>
            <w:vAlign w:val="top"/>
          </w:tcPr>
          <w:p>
            <w:r>
              <w:rPr>
                <w:sz w:val="14"/>
              </w:rPr>
              <w:t>CG-11</w:t>
            </w:r>
          </w:p>
        </w:tc>
        <w:tc>
          <w:tcPr>
            <w:tcW w:type="dxa" w:w="5083"/>
            <w:vAlign w:val="top"/>
          </w:tcPr>
          <w:p>
            <w:r>
              <w:rPr>
                <w:sz w:val="14"/>
              </w:rPr>
              <w:t>Evidence integrity and sufficiency</w:t>
            </w:r>
          </w:p>
        </w:tc>
      </w:tr>
      <w:tr>
        <w:tc>
          <w:tcPr>
            <w:tcW w:type="dxa" w:w="5083"/>
            <w:vAlign w:val="top"/>
            <w:shd w:fill="F4F7FA"/>
          </w:tcPr>
          <w:p>
            <w:r>
              <w:rPr>
                <w:sz w:val="14"/>
              </w:rPr>
              <w:t>CG-12</w:t>
            </w:r>
          </w:p>
        </w:tc>
        <w:tc>
          <w:tcPr>
            <w:tcW w:type="dxa" w:w="5083"/>
            <w:vAlign w:val="top"/>
            <w:shd w:fill="F4F7FA"/>
          </w:tcPr>
          <w:p>
            <w:r>
              <w:rPr>
                <w:sz w:val="14"/>
              </w:rPr>
              <w:t>Traceability and completeness</w:t>
            </w:r>
          </w:p>
        </w:tc>
      </w:tr>
      <w:tr>
        <w:tc>
          <w:tcPr>
            <w:tcW w:type="dxa" w:w="5083"/>
            <w:vAlign w:val="top"/>
          </w:tcPr>
          <w:p>
            <w:r>
              <w:rPr>
                <w:sz w:val="14"/>
              </w:rPr>
              <w:t>CG-13</w:t>
            </w:r>
          </w:p>
        </w:tc>
        <w:tc>
          <w:tcPr>
            <w:tcW w:type="dxa" w:w="5083"/>
            <w:vAlign w:val="top"/>
          </w:tcPr>
          <w:p>
            <w:r>
              <w:rPr>
                <w:sz w:val="14"/>
              </w:rPr>
              <w:t>Governance, competence and accountability</w:t>
            </w:r>
          </w:p>
        </w:tc>
      </w:tr>
      <w:tr>
        <w:tc>
          <w:tcPr>
            <w:tcW w:type="dxa" w:w="5083"/>
            <w:vAlign w:val="top"/>
            <w:shd w:fill="F4F7FA"/>
          </w:tcPr>
          <w:p>
            <w:r>
              <w:rPr>
                <w:sz w:val="14"/>
              </w:rPr>
              <w:t>CG-14</w:t>
            </w:r>
          </w:p>
        </w:tc>
        <w:tc>
          <w:tcPr>
            <w:tcW w:type="dxa" w:w="5083"/>
            <w:vAlign w:val="top"/>
            <w:shd w:fill="F4F7FA"/>
          </w:tcPr>
          <w:p>
            <w:r>
              <w:rPr>
                <w:sz w:val="14"/>
              </w:rPr>
              <w:t>Validity, change and continuing assurance</w:t>
            </w:r>
          </w:p>
        </w:tc>
      </w:tr>
      <w:tr>
        <w:tc>
          <w:tcPr>
            <w:tcW w:type="dxa" w:w="5083"/>
            <w:vAlign w:val="top"/>
          </w:tcPr>
          <w:p>
            <w:r>
              <w:rPr>
                <w:sz w:val="14"/>
              </w:rPr>
              <w:t>CG-15</w:t>
            </w:r>
          </w:p>
        </w:tc>
        <w:tc>
          <w:tcPr>
            <w:tcW w:type="dxa" w:w="5083"/>
            <w:vAlign w:val="top"/>
          </w:tcPr>
          <w:p>
            <w:r>
              <w:rPr>
                <w:sz w:val="14"/>
              </w:rPr>
              <w:t>Digital and OT security authority</w:t>
            </w:r>
          </w:p>
        </w:tc>
      </w:tr>
    </w:tbl>
    <w:p/>
    <w:p>
      <w:r>
        <w:t>Controlled states are PASS, FAIL, UNKNOWN, APPROVED_NA and NOT_ASSESSED. Conditions are separate fields. FAIL demonstrates that a prerequisite is not met. UNKNOWN means the evidence cannot establish the state. Neither can be treated as favourable.</w:t>
      </w:r>
    </w:p>
    <w:p>
      <w:r/>
    </w:p>
    <w:p>
      <w:pPr>
        <w:pStyle w:val="Heading1"/>
      </w:pPr>
      <w:r>
        <w:t>19. Scoring and decision model</w:t>
      </w:r>
    </w:p>
    <w:p>
      <w:r>
        <w:t>Scores support synthesis and trend analysis. They do not create assurance, neutralise UNKNOWN, override a gate or replace accountable judgement.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Decision state</w:t>
            </w:r>
          </w:p>
        </w:tc>
        <w:tc>
          <w:tcPr>
            <w:tcW w:type="dxa" w:w="5083"/>
            <w:shd w:fill="17365D"/>
            <w:vAlign w:val="center"/>
          </w:tcPr>
          <w:p>
            <w:r>
              <w:rPr>
                <w:b/>
                <w:color w:val="FFFFFF"/>
                <w:sz w:val="15"/>
              </w:rPr>
              <w:t>Meaning</w:t>
            </w:r>
          </w:p>
        </w:tc>
      </w:tr>
      <w:tr>
        <w:tc>
          <w:tcPr>
            <w:tcW w:type="dxa" w:w="5083"/>
            <w:vAlign w:val="top"/>
          </w:tcPr>
          <w:p>
            <w:r>
              <w:rPr>
                <w:sz w:val="14"/>
              </w:rPr>
              <w:t>REASONABLY ASSURED</w:t>
            </w:r>
          </w:p>
        </w:tc>
        <w:tc>
          <w:tcPr>
            <w:tcW w:type="dxa" w:w="5083"/>
            <w:vAlign w:val="top"/>
          </w:tcPr>
          <w:p>
            <w:r>
              <w:rPr>
                <w:sz w:val="14"/>
              </w:rPr>
              <w:t>Required evidence and gates support the bounded claim. This is an AIDCF internal state, not a regulated assurance level.</w:t>
            </w:r>
          </w:p>
        </w:tc>
      </w:tr>
      <w:tr>
        <w:tc>
          <w:tcPr>
            <w:tcW w:type="dxa" w:w="5083"/>
            <w:vAlign w:val="top"/>
            <w:shd w:fill="F4F7FA"/>
          </w:tcPr>
          <w:p>
            <w:r>
              <w:rPr>
                <w:sz w:val="14"/>
              </w:rPr>
              <w:t>CONDITIONALLY ASSURED</w:t>
            </w:r>
          </w:p>
        </w:tc>
        <w:tc>
          <w:tcPr>
            <w:tcW w:type="dxa" w:w="5083"/>
            <w:vAlign w:val="top"/>
            <w:shd w:fill="F4F7FA"/>
          </w:tcPr>
          <w:p>
            <w:r>
              <w:rPr>
                <w:sz w:val="14"/>
              </w:rPr>
              <w:t>The core claim is supported subject to named, time-bound conditions and no controlling failure.</w:t>
            </w:r>
          </w:p>
        </w:tc>
      </w:tr>
      <w:tr>
        <w:tc>
          <w:tcPr>
            <w:tcW w:type="dxa" w:w="5083"/>
            <w:vAlign w:val="top"/>
          </w:tcPr>
          <w:p>
            <w:r>
              <w:rPr>
                <w:sz w:val="14"/>
              </w:rPr>
              <w:t>LIMITED</w:t>
            </w:r>
          </w:p>
        </w:tc>
        <w:tc>
          <w:tcPr>
            <w:tcW w:type="dxa" w:w="5083"/>
            <w:vAlign w:val="top"/>
          </w:tcPr>
          <w:p>
            <w:r>
              <w:rPr>
                <w:sz w:val="14"/>
              </w:rPr>
              <w:t>Material scope, evidence or UNKNOWN restricts reliance.</w:t>
            </w:r>
          </w:p>
        </w:tc>
      </w:tr>
      <w:tr>
        <w:tc>
          <w:tcPr>
            <w:tcW w:type="dxa" w:w="5083"/>
            <w:vAlign w:val="top"/>
            <w:shd w:fill="F4F7FA"/>
          </w:tcPr>
          <w:p>
            <w:r>
              <w:rPr>
                <w:sz w:val="14"/>
              </w:rPr>
              <w:t>NOT ASSURED</w:t>
            </w:r>
          </w:p>
        </w:tc>
        <w:tc>
          <w:tcPr>
            <w:tcW w:type="dxa" w:w="5083"/>
            <w:vAlign w:val="top"/>
            <w:shd w:fill="F4F7FA"/>
          </w:tcPr>
          <w:p>
            <w:r>
              <w:rPr>
                <w:sz w:val="14"/>
              </w:rPr>
              <w:t>Evidence demonstrates material failure or a controlling gate fails.</w:t>
            </w:r>
          </w:p>
        </w:tc>
      </w:tr>
      <w:tr>
        <w:tc>
          <w:tcPr>
            <w:tcW w:type="dxa" w:w="5083"/>
            <w:vAlign w:val="top"/>
          </w:tcPr>
          <w:p>
            <w:r>
              <w:rPr>
                <w:sz w:val="14"/>
              </w:rPr>
              <w:t>UNKNOWN / INCONCLUSIVE</w:t>
            </w:r>
          </w:p>
        </w:tc>
        <w:tc>
          <w:tcPr>
            <w:tcW w:type="dxa" w:w="5083"/>
            <w:vAlign w:val="top"/>
          </w:tcPr>
          <w:p>
            <w:r>
              <w:rPr>
                <w:sz w:val="14"/>
              </w:rPr>
              <w:t>Evidence, method or boundary cannot support determination.</w:t>
            </w:r>
          </w:p>
        </w:tc>
      </w:tr>
      <w:tr>
        <w:tc>
          <w:tcPr>
            <w:tcW w:type="dxa" w:w="5083"/>
            <w:vAlign w:val="top"/>
            <w:shd w:fill="F4F7FA"/>
          </w:tcPr>
          <w:p>
            <w:r>
              <w:rPr>
                <w:sz w:val="14"/>
              </w:rPr>
              <w:t>SUSPENDED</w:t>
            </w:r>
          </w:p>
        </w:tc>
        <w:tc>
          <w:tcPr>
            <w:tcW w:type="dxa" w:w="5083"/>
            <w:vAlign w:val="top"/>
            <w:shd w:fill="F4F7FA"/>
          </w:tcPr>
          <w:p>
            <w:r>
              <w:rPr>
                <w:sz w:val="14"/>
              </w:rPr>
              <w:t>A prior decision is invalidated by change, incident, expiry or gate state.</w:t>
            </w:r>
          </w:p>
        </w:tc>
      </w:tr>
      <w:tr>
        <w:tc>
          <w:tcPr>
            <w:tcW w:type="dxa" w:w="5083"/>
            <w:vAlign w:val="top"/>
          </w:tcPr>
          <w:p>
            <w:r>
              <w:rPr>
                <w:sz w:val="14"/>
              </w:rPr>
              <w:t>WITHDRAWN</w:t>
            </w:r>
          </w:p>
        </w:tc>
        <w:tc>
          <w:tcPr>
            <w:tcW w:type="dxa" w:w="5083"/>
            <w:vAlign w:val="top"/>
          </w:tcPr>
          <w:p>
            <w:r>
              <w:rPr>
                <w:sz w:val="14"/>
              </w:rPr>
              <w:t>Decision removed after material integrity or governance failure.</w:t>
            </w:r>
          </w:p>
        </w:tc>
      </w:tr>
      <w:tr>
        <w:tc>
          <w:tcPr>
            <w:tcW w:type="dxa" w:w="5083"/>
            <w:vAlign w:val="top"/>
            <w:shd w:fill="F4F7FA"/>
          </w:tcPr>
          <w:p>
            <w:r>
              <w:rPr>
                <w:sz w:val="14"/>
              </w:rPr>
              <w:t>SUPERSEDED</w:t>
            </w:r>
          </w:p>
        </w:tc>
        <w:tc>
          <w:tcPr>
            <w:tcW w:type="dxa" w:w="5083"/>
            <w:vAlign w:val="top"/>
            <w:shd w:fill="F4F7FA"/>
          </w:tcPr>
          <w:p>
            <w:r>
              <w:rPr>
                <w:sz w:val="14"/>
              </w:rPr>
              <w:t>New approved snapshot replaces the earlier decision.</w:t>
            </w:r>
          </w:p>
        </w:tc>
      </w:tr>
    </w:tbl>
    <w:p/>
    <w:p>
      <w:r/>
    </w:p>
    <w:p>
      <w:pPr>
        <w:pStyle w:val="Heading1"/>
      </w:pPr>
      <w:r>
        <w:t>20. Machine-executable publication and conformance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Component</w:t>
            </w:r>
          </w:p>
        </w:tc>
        <w:tc>
          <w:tcPr>
            <w:tcW w:type="dxa" w:w="3389"/>
            <w:shd w:fill="17365D"/>
            <w:vAlign w:val="center"/>
          </w:tcPr>
          <w:p>
            <w:r>
              <w:rPr>
                <w:b/>
                <w:color w:val="FFFFFF"/>
                <w:sz w:val="15"/>
              </w:rPr>
              <w:t>Purpose</w:t>
            </w:r>
          </w:p>
        </w:tc>
        <w:tc>
          <w:tcPr>
            <w:tcW w:type="dxa" w:w="3389"/>
            <w:shd w:fill="17365D"/>
            <w:vAlign w:val="center"/>
          </w:tcPr>
          <w:p>
            <w:r>
              <w:rPr>
                <w:b/>
                <w:color w:val="FFFFFF"/>
                <w:sz w:val="15"/>
              </w:rPr>
              <w:t>Proof boundary</w:t>
            </w:r>
          </w:p>
        </w:tc>
      </w:tr>
      <w:tr>
        <w:tc>
          <w:tcPr>
            <w:tcW w:type="dxa" w:w="3389"/>
            <w:vAlign w:val="top"/>
          </w:tcPr>
          <w:p>
            <w:r>
              <w:rPr>
                <w:sz w:val="14"/>
              </w:rPr>
              <w:t>CSV registries</w:t>
            </w:r>
          </w:p>
        </w:tc>
        <w:tc>
          <w:tcPr>
            <w:tcW w:type="dxa" w:w="3389"/>
            <w:vAlign w:val="top"/>
          </w:tcPr>
          <w:p>
            <w:r>
              <w:rPr>
                <w:sz w:val="14"/>
              </w:rPr>
              <w:t>Canonical identities and vocabularies.</w:t>
            </w:r>
          </w:p>
        </w:tc>
        <w:tc>
          <w:tcPr>
            <w:tcW w:type="dxa" w:w="3389"/>
            <w:vAlign w:val="top"/>
          </w:tcPr>
          <w:p>
            <w:r>
              <w:rPr>
                <w:sz w:val="14"/>
              </w:rPr>
              <w:t>Identity and completeness.</w:t>
            </w:r>
          </w:p>
        </w:tc>
      </w:tr>
      <w:tr>
        <w:tc>
          <w:tcPr>
            <w:tcW w:type="dxa" w:w="3389"/>
            <w:vAlign w:val="top"/>
            <w:shd w:fill="F4F7FA"/>
          </w:tcPr>
          <w:p>
            <w:r>
              <w:rPr>
                <w:sz w:val="14"/>
              </w:rPr>
              <w:t>JSON Schema</w:t>
            </w:r>
          </w:p>
        </w:tc>
        <w:tc>
          <w:tcPr>
            <w:tcW w:type="dxa" w:w="3389"/>
            <w:vAlign w:val="top"/>
            <w:shd w:fill="F4F7FA"/>
          </w:tcPr>
          <w:p>
            <w:r>
              <w:rPr>
                <w:sz w:val="14"/>
              </w:rPr>
              <w:t>Structural validation.</w:t>
            </w:r>
          </w:p>
        </w:tc>
        <w:tc>
          <w:tcPr>
            <w:tcW w:type="dxa" w:w="3389"/>
            <w:vAlign w:val="top"/>
            <w:shd w:fill="F4F7FA"/>
          </w:tcPr>
          <w:p>
            <w:r>
              <w:rPr>
                <w:sz w:val="14"/>
              </w:rPr>
              <w:t>Shape, not factual truth.</w:t>
            </w:r>
          </w:p>
        </w:tc>
      </w:tr>
      <w:tr>
        <w:tc>
          <w:tcPr>
            <w:tcW w:type="dxa" w:w="3389"/>
            <w:vAlign w:val="top"/>
          </w:tcPr>
          <w:p>
            <w:r>
              <w:rPr>
                <w:sz w:val="14"/>
              </w:rPr>
              <w:t>JSON-LD</w:t>
            </w:r>
          </w:p>
        </w:tc>
        <w:tc>
          <w:tcPr>
            <w:tcW w:type="dxa" w:w="3389"/>
            <w:vAlign w:val="top"/>
          </w:tcPr>
          <w:p>
            <w:r>
              <w:rPr>
                <w:sz w:val="14"/>
              </w:rPr>
              <w:t>Linked-data exchange.</w:t>
            </w:r>
          </w:p>
        </w:tc>
        <w:tc>
          <w:tcPr>
            <w:tcW w:type="dxa" w:w="3389"/>
            <w:vAlign w:val="top"/>
          </w:tcPr>
          <w:p>
            <w:r>
              <w:rPr>
                <w:sz w:val="14"/>
              </w:rPr>
              <w:t>Context and identity.</w:t>
            </w:r>
          </w:p>
        </w:tc>
      </w:tr>
      <w:tr>
        <w:tc>
          <w:tcPr>
            <w:tcW w:type="dxa" w:w="3389"/>
            <w:vAlign w:val="top"/>
            <w:shd w:fill="F4F7FA"/>
          </w:tcPr>
          <w:p>
            <w:r>
              <w:rPr>
                <w:sz w:val="14"/>
              </w:rPr>
              <w:t>RDF/OWL</w:t>
            </w:r>
          </w:p>
        </w:tc>
        <w:tc>
          <w:tcPr>
            <w:tcW w:type="dxa" w:w="3389"/>
            <w:vAlign w:val="top"/>
            <w:shd w:fill="F4F7FA"/>
          </w:tcPr>
          <w:p>
            <w:r>
              <w:rPr>
                <w:sz w:val="14"/>
              </w:rPr>
              <w:t>Semantic classes and relationships.</w:t>
            </w:r>
          </w:p>
        </w:tc>
        <w:tc>
          <w:tcPr>
            <w:tcW w:type="dxa" w:w="3389"/>
            <w:vAlign w:val="top"/>
            <w:shd w:fill="F4F7FA"/>
          </w:tcPr>
          <w:p>
            <w:r>
              <w:rPr>
                <w:sz w:val="14"/>
              </w:rPr>
              <w:t>Declared semantics.</w:t>
            </w:r>
          </w:p>
        </w:tc>
      </w:tr>
      <w:tr>
        <w:tc>
          <w:tcPr>
            <w:tcW w:type="dxa" w:w="3389"/>
            <w:vAlign w:val="top"/>
          </w:tcPr>
          <w:p>
            <w:r>
              <w:rPr>
                <w:sz w:val="14"/>
              </w:rPr>
              <w:t>SHACL</w:t>
            </w:r>
          </w:p>
        </w:tc>
        <w:tc>
          <w:tcPr>
            <w:tcW w:type="dxa" w:w="3389"/>
            <w:vAlign w:val="top"/>
          </w:tcPr>
          <w:p>
            <w:r>
              <w:rPr>
                <w:sz w:val="14"/>
              </w:rPr>
              <w:t>Graph-shape and cardinality constraints.</w:t>
            </w:r>
          </w:p>
        </w:tc>
        <w:tc>
          <w:tcPr>
            <w:tcW w:type="dxa" w:w="3389"/>
            <w:vAlign w:val="top"/>
          </w:tcPr>
          <w:p>
            <w:r>
              <w:rPr>
                <w:sz w:val="14"/>
              </w:rPr>
              <w:t>Graph conformance.</w:t>
            </w:r>
          </w:p>
        </w:tc>
      </w:tr>
      <w:tr>
        <w:tc>
          <w:tcPr>
            <w:tcW w:type="dxa" w:w="3389"/>
            <w:vAlign w:val="top"/>
            <w:shd w:fill="F4F7FA"/>
          </w:tcPr>
          <w:p>
            <w:r>
              <w:rPr>
                <w:sz w:val="14"/>
              </w:rPr>
              <w:t>Fixtures</w:t>
            </w:r>
          </w:p>
        </w:tc>
        <w:tc>
          <w:tcPr>
            <w:tcW w:type="dxa" w:w="3389"/>
            <w:vAlign w:val="top"/>
            <w:shd w:fill="F4F7FA"/>
          </w:tcPr>
          <w:p>
            <w:r>
              <w:rPr>
                <w:sz w:val="14"/>
              </w:rPr>
              <w:t>Positive, negative, migration and anti-gaming tests.</w:t>
            </w:r>
          </w:p>
        </w:tc>
        <w:tc>
          <w:tcPr>
            <w:tcW w:type="dxa" w:w="3389"/>
            <w:vAlign w:val="top"/>
            <w:shd w:fill="F4F7FA"/>
          </w:tcPr>
          <w:p>
            <w:r>
              <w:rPr>
                <w:sz w:val="14"/>
              </w:rPr>
              <w:t>Expected rule behaviour.</w:t>
            </w:r>
          </w:p>
        </w:tc>
      </w:tr>
      <w:tr>
        <w:tc>
          <w:tcPr>
            <w:tcW w:type="dxa" w:w="3389"/>
            <w:vAlign w:val="top"/>
          </w:tcPr>
          <w:p>
            <w:r>
              <w:rPr>
                <w:sz w:val="14"/>
              </w:rPr>
              <w:t>Manifest and hashes</w:t>
            </w:r>
          </w:p>
        </w:tc>
        <w:tc>
          <w:tcPr>
            <w:tcW w:type="dxa" w:w="3389"/>
            <w:vAlign w:val="top"/>
          </w:tcPr>
          <w:p>
            <w:r>
              <w:rPr>
                <w:sz w:val="14"/>
              </w:rPr>
              <w:t>Release inventory and integrity.</w:t>
            </w:r>
          </w:p>
        </w:tc>
        <w:tc>
          <w:tcPr>
            <w:tcW w:type="dxa" w:w="3389"/>
            <w:vAlign w:val="top"/>
          </w:tcPr>
          <w:p>
            <w:r>
              <w:rPr>
                <w:sz w:val="14"/>
              </w:rPr>
              <w:t>File-level reproducibility.</w:t>
            </w:r>
          </w:p>
        </w:tc>
      </w:tr>
      <w:tr>
        <w:tc>
          <w:tcPr>
            <w:tcW w:type="dxa" w:w="3389"/>
            <w:vAlign w:val="top"/>
            <w:shd w:fill="F4F7FA"/>
          </w:tcPr>
          <w:p>
            <w:r>
              <w:rPr>
                <w:sz w:val="14"/>
              </w:rPr>
              <w:t>Conformance report</w:t>
            </w:r>
          </w:p>
        </w:tc>
        <w:tc>
          <w:tcPr>
            <w:tcW w:type="dxa" w:w="3389"/>
            <w:vAlign w:val="top"/>
            <w:shd w:fill="F4F7FA"/>
          </w:tcPr>
          <w:p>
            <w:r>
              <w:rPr>
                <w:sz w:val="14"/>
              </w:rPr>
              <w:t>Captured execution, versions and limitations.</w:t>
            </w:r>
          </w:p>
        </w:tc>
        <w:tc>
          <w:tcPr>
            <w:tcW w:type="dxa" w:w="3389"/>
            <w:vAlign w:val="top"/>
            <w:shd w:fill="F4F7FA"/>
          </w:tcPr>
          <w:p>
            <w:r>
              <w:rPr>
                <w:sz w:val="14"/>
              </w:rPr>
              <w:t>Technical result only.</w:t>
            </w:r>
          </w:p>
        </w:tc>
      </w:tr>
    </w:tbl>
    <w:p/>
    <w:p>
      <w:r>
        <w:t>Machine conformance cannot establish engineering adequacy, safety, operating effectiveness or assurance over a real facility. AIDCF-015 v1.2 is a canonical-baseline-aligned synthetic reference implementation, subject to independent T7 review and stated runtime limitations.</w:t>
      </w:r>
    </w:p>
    <w:p>
      <w:r/>
    </w:p>
    <w:p>
      <w:pPr>
        <w:pStyle w:val="Heading1"/>
      </w:pPr>
      <w:r>
        <w:t>21. Complete synthetic worked case</w:t>
      </w:r>
    </w:p>
    <w:p>
      <w:pPr>
        <w:jc w:val="center"/>
      </w:pPr>
      <w:r/>
    </w:p>
    <w:p>
      <w:pPr>
        <w:pStyle w:val="Caption"/>
        <w:jc w:val="center"/>
      </w:pPr>
      <w:r>
        <w:t>Figure 4. Synthetic service chain and assessed boundary.</w:t>
      </w:r>
    </w:p>
    <w:p>
      <w:r>
        <w:t>The case demonstrates method execution without representing a real organisation or facility. The Capability Instance is a synthetic liquid-cooled distributed-training service. Required outcomes are job completion, checkpoint integrity, controlled thermal operation and bounded restoration. The scope contains one cluster service chain and twelve representative control assessments. This equals 3.3333% of the 360-control catalogue and cannot support full-coverage claims.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Pr>
          <w:p>
            <w:r>
              <w:rPr>
                <w:b/>
                <w:color w:val="FFFFFF"/>
                <w:sz w:val="15"/>
              </w:rPr>
              <w:t>Case-local ID</w:t>
            </w:r>
          </w:p>
        </w:tc>
        <w:tc>
          <w:tcPr>
            <w:tcW w:type="dxa" w:w="2541"/>
            <w:shd w:fill="17365D"/>
            <w:vAlign w:val="center"/>
          </w:tcPr>
          <w:p>
            <w:r>
              <w:rPr>
                <w:b/>
                <w:color w:val="FFFFFF"/>
                <w:sz w:val="15"/>
              </w:rPr>
              <w:t>Canonical domain</w:t>
            </w:r>
          </w:p>
        </w:tc>
        <w:tc>
          <w:tcPr>
            <w:tcW w:type="dxa" w:w="2541"/>
            <w:shd w:fill="17365D"/>
            <w:vAlign w:val="center"/>
          </w:tcPr>
          <w:p>
            <w:r>
              <w:rPr>
                <w:b/>
                <w:color w:val="FFFFFF"/>
                <w:sz w:val="15"/>
              </w:rPr>
              <w:t>Assertion</w:t>
            </w:r>
          </w:p>
        </w:tc>
        <w:tc>
          <w:tcPr>
            <w:tcW w:type="dxa" w:w="2541"/>
            <w:shd w:fill="17365D"/>
            <w:vAlign w:val="center"/>
          </w:tcPr>
          <w:p>
            <w:r>
              <w:rPr>
                <w:b/>
                <w:color w:val="FFFFFF"/>
                <w:sz w:val="15"/>
              </w:rPr>
              <w:t>Evidence object</w:t>
            </w:r>
          </w:p>
        </w:tc>
      </w:tr>
      <w:tr>
        <w:tc>
          <w:tcPr>
            <w:tcW w:type="dxa" w:w="2541"/>
            <w:vAlign w:val="top"/>
          </w:tcPr>
          <w:p>
            <w:r>
              <w:rPr>
                <w:sz w:val="14"/>
              </w:rPr>
              <w:t>SYN-CTL-01</w:t>
            </w:r>
          </w:p>
        </w:tc>
        <w:tc>
          <w:tcPr>
            <w:tcW w:type="dxa" w:w="2541"/>
            <w:vAlign w:val="top"/>
          </w:tcPr>
          <w:p>
            <w:r>
              <w:rPr>
                <w:sz w:val="14"/>
              </w:rPr>
              <w:t>CAP</w:t>
            </w:r>
          </w:p>
        </w:tc>
        <w:tc>
          <w:tcPr>
            <w:tcW w:type="dxa" w:w="2541"/>
            <w:vAlign w:val="top"/>
          </w:tcPr>
          <w:p>
            <w:r>
              <w:rPr>
                <w:sz w:val="14"/>
              </w:rPr>
              <w:t>Outcomes and operating envelope are defined.</w:t>
            </w:r>
          </w:p>
        </w:tc>
        <w:tc>
          <w:tcPr>
            <w:tcW w:type="dxa" w:w="2541"/>
            <w:vAlign w:val="top"/>
          </w:tcPr>
          <w:p>
            <w:r>
              <w:rPr>
                <w:sz w:val="14"/>
              </w:rPr>
              <w:t>EV-001 capability and outcome record.</w:t>
            </w:r>
          </w:p>
        </w:tc>
      </w:tr>
      <w:tr>
        <w:tc>
          <w:tcPr>
            <w:tcW w:type="dxa" w:w="2541"/>
            <w:vAlign w:val="top"/>
            <w:shd w:fill="F4F7FA"/>
          </w:tcPr>
          <w:p>
            <w:r>
              <w:rPr>
                <w:sz w:val="14"/>
              </w:rPr>
              <w:t>SYN-CTL-02</w:t>
            </w:r>
          </w:p>
        </w:tc>
        <w:tc>
          <w:tcPr>
            <w:tcW w:type="dxa" w:w="2541"/>
            <w:vAlign w:val="top"/>
            <w:shd w:fill="F4F7FA"/>
          </w:tcPr>
          <w:p>
            <w:r>
              <w:rPr>
                <w:sz w:val="14"/>
              </w:rPr>
              <w:t>DEP</w:t>
            </w:r>
          </w:p>
        </w:tc>
        <w:tc>
          <w:tcPr>
            <w:tcW w:type="dxa" w:w="2541"/>
            <w:vAlign w:val="top"/>
            <w:shd w:fill="F4F7FA"/>
          </w:tcPr>
          <w:p>
            <w:r>
              <w:rPr>
                <w:sz w:val="14"/>
              </w:rPr>
              <w:t>Material power, cooling, network and storage dependencies are mapped.</w:t>
            </w:r>
          </w:p>
        </w:tc>
        <w:tc>
          <w:tcPr>
            <w:tcW w:type="dxa" w:w="2541"/>
            <w:vAlign w:val="top"/>
            <w:shd w:fill="F4F7FA"/>
          </w:tcPr>
          <w:p>
            <w:r>
              <w:rPr>
                <w:sz w:val="14"/>
              </w:rPr>
              <w:t>EV-002 dependency map.</w:t>
            </w:r>
          </w:p>
        </w:tc>
      </w:tr>
      <w:tr>
        <w:tc>
          <w:tcPr>
            <w:tcW w:type="dxa" w:w="2541"/>
            <w:vAlign w:val="top"/>
          </w:tcPr>
          <w:p>
            <w:r>
              <w:rPr>
                <w:sz w:val="14"/>
              </w:rPr>
              <w:t>SYN-CTL-03</w:t>
            </w:r>
          </w:p>
        </w:tc>
        <w:tc>
          <w:tcPr>
            <w:tcW w:type="dxa" w:w="2541"/>
            <w:vAlign w:val="top"/>
          </w:tcPr>
          <w:p>
            <w:r>
              <w:rPr>
                <w:sz w:val="14"/>
              </w:rPr>
              <w:t>POW</w:t>
            </w:r>
          </w:p>
        </w:tc>
        <w:tc>
          <w:tcPr>
            <w:tcW w:type="dxa" w:w="2541"/>
            <w:vAlign w:val="top"/>
          </w:tcPr>
          <w:p>
            <w:r>
              <w:rPr>
                <w:sz w:val="14"/>
              </w:rPr>
              <w:t>Available and resilient capacity are distinguished.</w:t>
            </w:r>
          </w:p>
        </w:tc>
        <w:tc>
          <w:tcPr>
            <w:tcW w:type="dxa" w:w="2541"/>
            <w:vAlign w:val="top"/>
          </w:tcPr>
          <w:p>
            <w:r>
              <w:rPr>
                <w:sz w:val="14"/>
              </w:rPr>
              <w:t>EV-003 capacity study.</w:t>
            </w:r>
          </w:p>
        </w:tc>
      </w:tr>
      <w:tr>
        <w:tc>
          <w:tcPr>
            <w:tcW w:type="dxa" w:w="2541"/>
            <w:vAlign w:val="top"/>
            <w:shd w:fill="F4F7FA"/>
          </w:tcPr>
          <w:p>
            <w:r>
              <w:rPr>
                <w:sz w:val="14"/>
              </w:rPr>
              <w:t>SYN-CTL-04</w:t>
            </w:r>
          </w:p>
        </w:tc>
        <w:tc>
          <w:tcPr>
            <w:tcW w:type="dxa" w:w="2541"/>
            <w:vAlign w:val="top"/>
            <w:shd w:fill="F4F7FA"/>
          </w:tcPr>
          <w:p>
            <w:r>
              <w:rPr>
                <w:sz w:val="14"/>
              </w:rPr>
              <w:t>THM</w:t>
            </w:r>
          </w:p>
        </w:tc>
        <w:tc>
          <w:tcPr>
            <w:tcW w:type="dxa" w:w="2541"/>
            <w:vAlign w:val="top"/>
            <w:shd w:fill="F4F7FA"/>
          </w:tcPr>
          <w:p>
            <w:r>
              <w:rPr>
                <w:sz w:val="14"/>
              </w:rPr>
              <w:t>CDU and cooling-loop capacity supports declared load.</w:t>
            </w:r>
          </w:p>
        </w:tc>
        <w:tc>
          <w:tcPr>
            <w:tcW w:type="dxa" w:w="2541"/>
            <w:vAlign w:val="top"/>
            <w:shd w:fill="F4F7FA"/>
          </w:tcPr>
          <w:p>
            <w:r>
              <w:rPr>
                <w:sz w:val="14"/>
              </w:rPr>
              <w:t>EV-004 thermal model.</w:t>
            </w:r>
          </w:p>
        </w:tc>
      </w:tr>
      <w:tr>
        <w:tc>
          <w:tcPr>
            <w:tcW w:type="dxa" w:w="2541"/>
            <w:vAlign w:val="top"/>
          </w:tcPr>
          <w:p>
            <w:r>
              <w:rPr>
                <w:sz w:val="14"/>
              </w:rPr>
              <w:t>SYN-CTL-05</w:t>
            </w:r>
          </w:p>
        </w:tc>
        <w:tc>
          <w:tcPr>
            <w:tcW w:type="dxa" w:w="2541"/>
            <w:vAlign w:val="top"/>
          </w:tcPr>
          <w:p>
            <w:r>
              <w:rPr>
                <w:sz w:val="14"/>
              </w:rPr>
              <w:t>CMP</w:t>
            </w:r>
          </w:p>
        </w:tc>
        <w:tc>
          <w:tcPr>
            <w:tcW w:type="dxa" w:w="2541"/>
            <w:vAlign w:val="top"/>
          </w:tcPr>
          <w:p>
            <w:r>
              <w:rPr>
                <w:sz w:val="14"/>
              </w:rPr>
              <w:t>Cluster topology and scheduler state are controlled.</w:t>
            </w:r>
          </w:p>
        </w:tc>
        <w:tc>
          <w:tcPr>
            <w:tcW w:type="dxa" w:w="2541"/>
            <w:vAlign w:val="top"/>
          </w:tcPr>
          <w:p>
            <w:r>
              <w:rPr>
                <w:sz w:val="14"/>
              </w:rPr>
              <w:t>EV-005 compute baseline.</w:t>
            </w:r>
          </w:p>
        </w:tc>
      </w:tr>
      <w:tr>
        <w:tc>
          <w:tcPr>
            <w:tcW w:type="dxa" w:w="2541"/>
            <w:vAlign w:val="top"/>
            <w:shd w:fill="F4F7FA"/>
          </w:tcPr>
          <w:p>
            <w:r>
              <w:rPr>
                <w:sz w:val="14"/>
              </w:rPr>
              <w:t>SYN-CTL-06</w:t>
            </w:r>
          </w:p>
        </w:tc>
        <w:tc>
          <w:tcPr>
            <w:tcW w:type="dxa" w:w="2541"/>
            <w:vAlign w:val="top"/>
            <w:shd w:fill="F4F7FA"/>
          </w:tcPr>
          <w:p>
            <w:r>
              <w:rPr>
                <w:sz w:val="14"/>
              </w:rPr>
              <w:t>STO</w:t>
            </w:r>
          </w:p>
        </w:tc>
        <w:tc>
          <w:tcPr>
            <w:tcW w:type="dxa" w:w="2541"/>
            <w:vAlign w:val="top"/>
            <w:shd w:fill="F4F7FA"/>
          </w:tcPr>
          <w:p>
            <w:r>
              <w:rPr>
                <w:sz w:val="14"/>
              </w:rPr>
              <w:t>Checkpoint integrity and restoration are addressed.</w:t>
            </w:r>
          </w:p>
        </w:tc>
        <w:tc>
          <w:tcPr>
            <w:tcW w:type="dxa" w:w="2541"/>
            <w:vAlign w:val="top"/>
            <w:shd w:fill="F4F7FA"/>
          </w:tcPr>
          <w:p>
            <w:r>
              <w:rPr>
                <w:sz w:val="14"/>
              </w:rPr>
              <w:t>EV-006 storage record.</w:t>
            </w:r>
          </w:p>
        </w:tc>
      </w:tr>
      <w:tr>
        <w:tc>
          <w:tcPr>
            <w:tcW w:type="dxa" w:w="2541"/>
            <w:vAlign w:val="top"/>
          </w:tcPr>
          <w:p>
            <w:r>
              <w:rPr>
                <w:sz w:val="14"/>
              </w:rPr>
              <w:t>SYN-CTL-07</w:t>
            </w:r>
          </w:p>
        </w:tc>
        <w:tc>
          <w:tcPr>
            <w:tcW w:type="dxa" w:w="2541"/>
            <w:vAlign w:val="top"/>
          </w:tcPr>
          <w:p>
            <w:r>
              <w:rPr>
                <w:sz w:val="14"/>
              </w:rPr>
              <w:t>NET</w:t>
            </w:r>
          </w:p>
        </w:tc>
        <w:tc>
          <w:tcPr>
            <w:tcW w:type="dxa" w:w="2541"/>
            <w:vAlign w:val="top"/>
          </w:tcPr>
          <w:p>
            <w:r>
              <w:rPr>
                <w:sz w:val="14"/>
              </w:rPr>
              <w:t>Fabric topology and degraded-path performance are addressed.</w:t>
            </w:r>
          </w:p>
        </w:tc>
        <w:tc>
          <w:tcPr>
            <w:tcW w:type="dxa" w:w="2541"/>
            <w:vAlign w:val="top"/>
          </w:tcPr>
          <w:p>
            <w:r>
              <w:rPr>
                <w:sz w:val="14"/>
              </w:rPr>
              <w:t>EV-007 network record.</w:t>
            </w:r>
          </w:p>
        </w:tc>
      </w:tr>
      <w:tr>
        <w:tc>
          <w:tcPr>
            <w:tcW w:type="dxa" w:w="2541"/>
            <w:vAlign w:val="top"/>
            <w:shd w:fill="F4F7FA"/>
          </w:tcPr>
          <w:p>
            <w:r>
              <w:rPr>
                <w:sz w:val="14"/>
              </w:rPr>
              <w:t>SYN-CTL-08</w:t>
            </w:r>
          </w:p>
        </w:tc>
        <w:tc>
          <w:tcPr>
            <w:tcW w:type="dxa" w:w="2541"/>
            <w:vAlign w:val="top"/>
            <w:shd w:fill="F4F7FA"/>
          </w:tcPr>
          <w:p>
            <w:r>
              <w:rPr>
                <w:sz w:val="14"/>
              </w:rPr>
              <w:t>OPS</w:t>
            </w:r>
          </w:p>
        </w:tc>
        <w:tc>
          <w:tcPr>
            <w:tcW w:type="dxa" w:w="2541"/>
            <w:vAlign w:val="top"/>
            <w:shd w:fill="F4F7FA"/>
          </w:tcPr>
          <w:p>
            <w:r>
              <w:rPr>
                <w:sz w:val="14"/>
              </w:rPr>
              <w:t>Operational authority and response procedures are assigned.</w:t>
            </w:r>
          </w:p>
        </w:tc>
        <w:tc>
          <w:tcPr>
            <w:tcW w:type="dxa" w:w="2541"/>
            <w:vAlign w:val="top"/>
            <w:shd w:fill="F4F7FA"/>
          </w:tcPr>
          <w:p>
            <w:r>
              <w:rPr>
                <w:sz w:val="14"/>
              </w:rPr>
              <w:t>EV-008 procedure record.</w:t>
            </w:r>
          </w:p>
        </w:tc>
      </w:tr>
      <w:tr>
        <w:tc>
          <w:tcPr>
            <w:tcW w:type="dxa" w:w="2541"/>
            <w:vAlign w:val="top"/>
          </w:tcPr>
          <w:p>
            <w:r>
              <w:rPr>
                <w:sz w:val="14"/>
              </w:rPr>
              <w:t>SYN-CTL-09</w:t>
            </w:r>
          </w:p>
        </w:tc>
        <w:tc>
          <w:tcPr>
            <w:tcW w:type="dxa" w:w="2541"/>
            <w:vAlign w:val="top"/>
          </w:tcPr>
          <w:p>
            <w:r>
              <w:rPr>
                <w:sz w:val="14"/>
              </w:rPr>
              <w:t>RES</w:t>
            </w:r>
          </w:p>
        </w:tc>
        <w:tc>
          <w:tcPr>
            <w:tcW w:type="dxa" w:w="2541"/>
            <w:vAlign w:val="top"/>
          </w:tcPr>
          <w:p>
            <w:r>
              <w:rPr>
                <w:sz w:val="14"/>
              </w:rPr>
              <w:t>Containment and recovery dependencies are analysed.</w:t>
            </w:r>
          </w:p>
        </w:tc>
        <w:tc>
          <w:tcPr>
            <w:tcW w:type="dxa" w:w="2541"/>
            <w:vAlign w:val="top"/>
          </w:tcPr>
          <w:p>
            <w:r>
              <w:rPr>
                <w:sz w:val="14"/>
              </w:rPr>
              <w:t>EV-009 scenario record.</w:t>
            </w:r>
          </w:p>
        </w:tc>
      </w:tr>
      <w:tr>
        <w:tc>
          <w:tcPr>
            <w:tcW w:type="dxa" w:w="2541"/>
            <w:vAlign w:val="top"/>
            <w:shd w:fill="F4F7FA"/>
          </w:tcPr>
          <w:p>
            <w:r>
              <w:rPr>
                <w:sz w:val="14"/>
              </w:rPr>
              <w:t>SYN-CTL-10</w:t>
            </w:r>
          </w:p>
        </w:tc>
        <w:tc>
          <w:tcPr>
            <w:tcW w:type="dxa" w:w="2541"/>
            <w:vAlign w:val="top"/>
            <w:shd w:fill="F4F7FA"/>
          </w:tcPr>
          <w:p>
            <w:r>
              <w:rPr>
                <w:sz w:val="14"/>
              </w:rPr>
              <w:t>SEC</w:t>
            </w:r>
          </w:p>
        </w:tc>
        <w:tc>
          <w:tcPr>
            <w:tcW w:type="dxa" w:w="2541"/>
            <w:vAlign w:val="top"/>
            <w:shd w:fill="F4F7FA"/>
          </w:tcPr>
          <w:p>
            <w:r>
              <w:rPr>
                <w:sz w:val="14"/>
              </w:rPr>
              <w:t>Privileged control-plane authority is controlled.</w:t>
            </w:r>
          </w:p>
        </w:tc>
        <w:tc>
          <w:tcPr>
            <w:tcW w:type="dxa" w:w="2541"/>
            <w:vAlign w:val="top"/>
            <w:shd w:fill="F4F7FA"/>
          </w:tcPr>
          <w:p>
            <w:r>
              <w:rPr>
                <w:sz w:val="14"/>
              </w:rPr>
              <w:t>EV-010 access record.</w:t>
            </w:r>
          </w:p>
        </w:tc>
      </w:tr>
      <w:tr>
        <w:tc>
          <w:tcPr>
            <w:tcW w:type="dxa" w:w="2541"/>
            <w:vAlign w:val="top"/>
          </w:tcPr>
          <w:p>
            <w:r>
              <w:rPr>
                <w:sz w:val="14"/>
              </w:rPr>
              <w:t>SYN-CTL-11</w:t>
            </w:r>
          </w:p>
        </w:tc>
        <w:tc>
          <w:tcPr>
            <w:tcW w:type="dxa" w:w="2541"/>
            <w:vAlign w:val="top"/>
          </w:tcPr>
          <w:p>
            <w:r>
              <w:rPr>
                <w:sz w:val="14"/>
              </w:rPr>
              <w:t>EVA</w:t>
            </w:r>
          </w:p>
        </w:tc>
        <w:tc>
          <w:tcPr>
            <w:tcW w:type="dxa" w:w="2541"/>
            <w:vAlign w:val="top"/>
          </w:tcPr>
          <w:p>
            <w:r>
              <w:rPr>
                <w:sz w:val="14"/>
              </w:rPr>
              <w:t>Evidence lineage and integrity values are retained.</w:t>
            </w:r>
          </w:p>
        </w:tc>
        <w:tc>
          <w:tcPr>
            <w:tcW w:type="dxa" w:w="2541"/>
            <w:vAlign w:val="top"/>
          </w:tcPr>
          <w:p>
            <w:r>
              <w:rPr>
                <w:sz w:val="14"/>
              </w:rPr>
              <w:t>EV-011 evidence manifest.</w:t>
            </w:r>
          </w:p>
        </w:tc>
      </w:tr>
      <w:tr>
        <w:tc>
          <w:tcPr>
            <w:tcW w:type="dxa" w:w="2541"/>
            <w:vAlign w:val="top"/>
            <w:shd w:fill="F4F7FA"/>
          </w:tcPr>
          <w:p>
            <w:r>
              <w:rPr>
                <w:sz w:val="14"/>
              </w:rPr>
              <w:t>SYN-CTL-12</w:t>
            </w:r>
          </w:p>
        </w:tc>
        <w:tc>
          <w:tcPr>
            <w:tcW w:type="dxa" w:w="2541"/>
            <w:vAlign w:val="top"/>
            <w:shd w:fill="F4F7FA"/>
          </w:tcPr>
          <w:p>
            <w:r>
              <w:rPr>
                <w:sz w:val="14"/>
              </w:rPr>
              <w:t>EVA</w:t>
            </w:r>
          </w:p>
        </w:tc>
        <w:tc>
          <w:tcPr>
            <w:tcW w:type="dxa" w:w="2541"/>
            <w:vAlign w:val="top"/>
            <w:shd w:fill="F4F7FA"/>
          </w:tcPr>
          <w:p>
            <w:r>
              <w:rPr>
                <w:sz w:val="14"/>
              </w:rPr>
              <w:t>Decision, limitations and validity are recorded.</w:t>
            </w:r>
          </w:p>
        </w:tc>
        <w:tc>
          <w:tcPr>
            <w:tcW w:type="dxa" w:w="2541"/>
            <w:vAlign w:val="top"/>
            <w:shd w:fill="F4F7FA"/>
          </w:tcPr>
          <w:p>
            <w:r>
              <w:rPr>
                <w:sz w:val="14"/>
              </w:rPr>
              <w:t>EV-012 decision record.</w:t>
            </w:r>
          </w:p>
        </w:tc>
      </w:tr>
    </w:tbl>
    <w:p/>
    <w:p>
      <w:r/>
    </w:p>
    <w:p>
      <w:pPr>
        <w:pStyle w:val="Heading1"/>
      </w:pPr>
      <w:r>
        <w:t>22. Worked-case assessment results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Pr>
          <w:p>
            <w:r>
              <w:rPr>
                <w:b/>
                <w:color w:val="FFFFFF"/>
                <w:sz w:val="15"/>
              </w:rPr>
              <w:t>Case-local ID</w:t>
            </w:r>
          </w:p>
        </w:tc>
        <w:tc>
          <w:tcPr>
            <w:tcW w:type="dxa" w:w="2541"/>
            <w:shd w:fill="17365D"/>
            <w:vAlign w:val="center"/>
          </w:tcPr>
          <w:p>
            <w:r>
              <w:rPr>
                <w:b/>
                <w:color w:val="FFFFFF"/>
                <w:sz w:val="15"/>
              </w:rPr>
              <w:t>Procedure</w:t>
            </w:r>
          </w:p>
        </w:tc>
        <w:tc>
          <w:tcPr>
            <w:tcW w:type="dxa" w:w="2541"/>
            <w:shd w:fill="17365D"/>
            <w:vAlign w:val="center"/>
          </w:tcPr>
          <w:p>
            <w:r>
              <w:rPr>
                <w:b/>
                <w:color w:val="FFFFFF"/>
                <w:sz w:val="15"/>
              </w:rPr>
              <w:t>Result</w:t>
            </w:r>
          </w:p>
        </w:tc>
        <w:tc>
          <w:tcPr>
            <w:tcW w:type="dxa" w:w="2541"/>
            <w:shd w:fill="17365D"/>
            <w:vAlign w:val="center"/>
          </w:tcPr>
          <w:p>
            <w:r>
              <w:rPr>
                <w:b/>
                <w:color w:val="FFFFFF"/>
                <w:sz w:val="15"/>
              </w:rPr>
              <w:t>Decision effect</w:t>
            </w:r>
          </w:p>
        </w:tc>
      </w:tr>
      <w:tr>
        <w:tc>
          <w:tcPr>
            <w:tcW w:type="dxa" w:w="2541"/>
            <w:vAlign w:val="top"/>
          </w:tcPr>
          <w:p>
            <w:r>
              <w:rPr>
                <w:sz w:val="14"/>
              </w:rPr>
              <w:t>SYN-CTL-01</w:t>
            </w:r>
          </w:p>
        </w:tc>
        <w:tc>
          <w:tcPr>
            <w:tcW w:type="dxa" w:w="2541"/>
            <w:vAlign w:val="top"/>
          </w:tcPr>
          <w:p>
            <w:r>
              <w:rPr>
                <w:sz w:val="14"/>
              </w:rPr>
              <w:t>Inspect capability/outcome record and trace architecture linkage.</w:t>
            </w:r>
          </w:p>
        </w:tc>
        <w:tc>
          <w:tcPr>
            <w:tcW w:type="dxa" w:w="2541"/>
            <w:vAlign w:val="top"/>
          </w:tcPr>
          <w:p>
            <w:r>
              <w:rPr>
                <w:sz w:val="14"/>
              </w:rPr>
              <w:t>CONFORMING</w:t>
            </w:r>
          </w:p>
        </w:tc>
        <w:tc>
          <w:tcPr>
            <w:tcW w:type="dxa" w:w="2541"/>
            <w:vAlign w:val="top"/>
          </w:tcPr>
          <w:p>
            <w:r>
              <w:rPr>
                <w:sz w:val="14"/>
              </w:rPr>
              <w:t>Supports CG-01.</w:t>
            </w:r>
          </w:p>
        </w:tc>
      </w:tr>
      <w:tr>
        <w:tc>
          <w:tcPr>
            <w:tcW w:type="dxa" w:w="2541"/>
            <w:vAlign w:val="top"/>
            <w:shd w:fill="F4F7FA"/>
          </w:tcPr>
          <w:p>
            <w:r>
              <w:rPr>
                <w:sz w:val="14"/>
              </w:rPr>
              <w:t>SYN-CTL-02</w:t>
            </w:r>
          </w:p>
        </w:tc>
        <w:tc>
          <w:tcPr>
            <w:tcW w:type="dxa" w:w="2541"/>
            <w:vAlign w:val="top"/>
            <w:shd w:fill="F4F7FA"/>
          </w:tcPr>
          <w:p>
            <w:r>
              <w:rPr>
                <w:sz w:val="14"/>
              </w:rPr>
              <w:t>Trace upstream, shared and recovery dependencies.</w:t>
            </w:r>
          </w:p>
        </w:tc>
        <w:tc>
          <w:tcPr>
            <w:tcW w:type="dxa" w:w="2541"/>
            <w:vAlign w:val="top"/>
            <w:shd w:fill="F4F7FA"/>
          </w:tcPr>
          <w:p>
            <w:r>
              <w:rPr>
                <w:sz w:val="14"/>
              </w:rPr>
              <w:t>PARTIAL</w:t>
            </w:r>
          </w:p>
        </w:tc>
        <w:tc>
          <w:tcPr>
            <w:tcW w:type="dxa" w:w="2541"/>
            <w:vAlign w:val="top"/>
            <w:shd w:fill="F4F7FA"/>
          </w:tcPr>
          <w:p>
            <w:r>
              <w:rPr>
                <w:sz w:val="14"/>
              </w:rPr>
              <w:t>CG-03 remains constrained.</w:t>
            </w:r>
          </w:p>
        </w:tc>
      </w:tr>
      <w:tr>
        <w:tc>
          <w:tcPr>
            <w:tcW w:type="dxa" w:w="2541"/>
            <w:vAlign w:val="top"/>
          </w:tcPr>
          <w:p>
            <w:r>
              <w:rPr>
                <w:sz w:val="14"/>
              </w:rPr>
              <w:t>SYN-CTL-03</w:t>
            </w:r>
          </w:p>
        </w:tc>
        <w:tc>
          <w:tcPr>
            <w:tcW w:type="dxa" w:w="2541"/>
            <w:vAlign w:val="top"/>
          </w:tcPr>
          <w:p>
            <w:r>
              <w:rPr>
                <w:sz w:val="14"/>
              </w:rPr>
              <w:t>Reconcile installed, available, resilient and committed capacity.</w:t>
            </w:r>
          </w:p>
        </w:tc>
        <w:tc>
          <w:tcPr>
            <w:tcW w:type="dxa" w:w="2541"/>
            <w:vAlign w:val="top"/>
          </w:tcPr>
          <w:p>
            <w:r>
              <w:rPr>
                <w:sz w:val="14"/>
              </w:rPr>
              <w:t>CONFORMING</w:t>
            </w:r>
          </w:p>
        </w:tc>
        <w:tc>
          <w:tcPr>
            <w:tcW w:type="dxa" w:w="2541"/>
            <w:vAlign w:val="top"/>
          </w:tcPr>
          <w:p>
            <w:r>
              <w:rPr>
                <w:sz w:val="14"/>
              </w:rPr>
              <w:t>Supports CG-05 in synthetic scope.</w:t>
            </w:r>
          </w:p>
        </w:tc>
      </w:tr>
      <w:tr>
        <w:tc>
          <w:tcPr>
            <w:tcW w:type="dxa" w:w="2541"/>
            <w:vAlign w:val="top"/>
            <w:shd w:fill="F4F7FA"/>
          </w:tcPr>
          <w:p>
            <w:r>
              <w:rPr>
                <w:sz w:val="14"/>
              </w:rPr>
              <w:t>SYN-CTL-04</w:t>
            </w:r>
          </w:p>
        </w:tc>
        <w:tc>
          <w:tcPr>
            <w:tcW w:type="dxa" w:w="2541"/>
            <w:vAlign w:val="top"/>
            <w:shd w:fill="F4F7FA"/>
          </w:tcPr>
          <w:p>
            <w:r>
              <w:rPr>
                <w:sz w:val="14"/>
              </w:rPr>
              <w:t>Review heat-load model and CDU dependency.</w:t>
            </w:r>
          </w:p>
        </w:tc>
        <w:tc>
          <w:tcPr>
            <w:tcW w:type="dxa" w:w="2541"/>
            <w:vAlign w:val="top"/>
            <w:shd w:fill="F4F7FA"/>
          </w:tcPr>
          <w:p>
            <w:r>
              <w:rPr>
                <w:sz w:val="14"/>
              </w:rPr>
              <w:t>CONFORMING</w:t>
            </w:r>
          </w:p>
        </w:tc>
        <w:tc>
          <w:tcPr>
            <w:tcW w:type="dxa" w:w="2541"/>
            <w:vAlign w:val="top"/>
            <w:shd w:fill="F4F7FA"/>
          </w:tcPr>
          <w:p>
            <w:r>
              <w:rPr>
                <w:sz w:val="14"/>
              </w:rPr>
              <w:t>Supports CG-06 in synthetic scope.</w:t>
            </w:r>
          </w:p>
        </w:tc>
      </w:tr>
      <w:tr>
        <w:tc>
          <w:tcPr>
            <w:tcW w:type="dxa" w:w="2541"/>
            <w:vAlign w:val="top"/>
          </w:tcPr>
          <w:p>
            <w:r>
              <w:rPr>
                <w:sz w:val="14"/>
              </w:rPr>
              <w:t>SYN-CTL-05</w:t>
            </w:r>
          </w:p>
        </w:tc>
        <w:tc>
          <w:tcPr>
            <w:tcW w:type="dxa" w:w="2541"/>
            <w:vAlign w:val="top"/>
          </w:tcPr>
          <w:p>
            <w:r>
              <w:rPr>
                <w:sz w:val="14"/>
              </w:rPr>
              <w:t>Inspect topology, scheduler and health data.</w:t>
            </w:r>
          </w:p>
        </w:tc>
        <w:tc>
          <w:tcPr>
            <w:tcW w:type="dxa" w:w="2541"/>
            <w:vAlign w:val="top"/>
          </w:tcPr>
          <w:p>
            <w:r>
              <w:rPr>
                <w:sz w:val="14"/>
              </w:rPr>
              <w:t>CONFORMING</w:t>
            </w:r>
          </w:p>
        </w:tc>
        <w:tc>
          <w:tcPr>
            <w:tcW w:type="dxa" w:w="2541"/>
            <w:vAlign w:val="top"/>
          </w:tcPr>
          <w:p>
            <w:r>
              <w:rPr>
                <w:sz w:val="14"/>
              </w:rPr>
              <w:t>Supports CG-08.</w:t>
            </w:r>
          </w:p>
        </w:tc>
      </w:tr>
      <w:tr>
        <w:tc>
          <w:tcPr>
            <w:tcW w:type="dxa" w:w="2541"/>
            <w:vAlign w:val="top"/>
            <w:shd w:fill="F4F7FA"/>
          </w:tcPr>
          <w:p>
            <w:r>
              <w:rPr>
                <w:sz w:val="14"/>
              </w:rPr>
              <w:t>SYN-CTL-06</w:t>
            </w:r>
          </w:p>
        </w:tc>
        <w:tc>
          <w:tcPr>
            <w:tcW w:type="dxa" w:w="2541"/>
            <w:vAlign w:val="top"/>
            <w:shd w:fill="F4F7FA"/>
          </w:tcPr>
          <w:p>
            <w:r>
              <w:rPr>
                <w:sz w:val="14"/>
              </w:rPr>
              <w:t>Inspect checkpoint evidence and restoration result.</w:t>
            </w:r>
          </w:p>
        </w:tc>
        <w:tc>
          <w:tcPr>
            <w:tcW w:type="dxa" w:w="2541"/>
            <w:vAlign w:val="top"/>
            <w:shd w:fill="F4F7FA"/>
          </w:tcPr>
          <w:p>
            <w:r>
              <w:rPr>
                <w:sz w:val="14"/>
              </w:rPr>
              <w:t>UNKNOWN</w:t>
            </w:r>
          </w:p>
        </w:tc>
        <w:tc>
          <w:tcPr>
            <w:tcW w:type="dxa" w:w="2541"/>
            <w:vAlign w:val="top"/>
            <w:shd w:fill="F4F7FA"/>
          </w:tcPr>
          <w:p>
            <w:r>
              <w:rPr>
                <w:sz w:val="14"/>
              </w:rPr>
              <w:t>CG-10 remains UNKNOWN.</w:t>
            </w:r>
          </w:p>
        </w:tc>
      </w:tr>
      <w:tr>
        <w:tc>
          <w:tcPr>
            <w:tcW w:type="dxa" w:w="2541"/>
            <w:vAlign w:val="top"/>
          </w:tcPr>
          <w:p>
            <w:r>
              <w:rPr>
                <w:sz w:val="14"/>
              </w:rPr>
              <w:t>SYN-CTL-07</w:t>
            </w:r>
          </w:p>
        </w:tc>
        <w:tc>
          <w:tcPr>
            <w:tcW w:type="dxa" w:w="2541"/>
            <w:vAlign w:val="top"/>
          </w:tcPr>
          <w:p>
            <w:r>
              <w:rPr>
                <w:sz w:val="14"/>
              </w:rPr>
              <w:t>Review fabric topology and degraded-path test.</w:t>
            </w:r>
          </w:p>
        </w:tc>
        <w:tc>
          <w:tcPr>
            <w:tcW w:type="dxa" w:w="2541"/>
            <w:vAlign w:val="top"/>
          </w:tcPr>
          <w:p>
            <w:r>
              <w:rPr>
                <w:sz w:val="14"/>
              </w:rPr>
              <w:t>PARTIAL</w:t>
            </w:r>
          </w:p>
        </w:tc>
        <w:tc>
          <w:tcPr>
            <w:tcW w:type="dxa" w:w="2541"/>
            <w:vAlign w:val="top"/>
          </w:tcPr>
          <w:p>
            <w:r>
              <w:rPr>
                <w:sz w:val="14"/>
              </w:rPr>
              <w:t>Limits CG-08 confidence.</w:t>
            </w:r>
          </w:p>
        </w:tc>
      </w:tr>
      <w:tr>
        <w:tc>
          <w:tcPr>
            <w:tcW w:type="dxa" w:w="2541"/>
            <w:vAlign w:val="top"/>
            <w:shd w:fill="F4F7FA"/>
          </w:tcPr>
          <w:p>
            <w:r>
              <w:rPr>
                <w:sz w:val="14"/>
              </w:rPr>
              <w:t>SYN-CTL-08</w:t>
            </w:r>
          </w:p>
        </w:tc>
        <w:tc>
          <w:tcPr>
            <w:tcW w:type="dxa" w:w="2541"/>
            <w:vAlign w:val="top"/>
            <w:shd w:fill="F4F7FA"/>
          </w:tcPr>
          <w:p>
            <w:r>
              <w:rPr>
                <w:sz w:val="14"/>
              </w:rPr>
              <w:t>Review procedures and authority.</w:t>
            </w:r>
          </w:p>
        </w:tc>
        <w:tc>
          <w:tcPr>
            <w:tcW w:type="dxa" w:w="2541"/>
            <w:vAlign w:val="top"/>
            <w:shd w:fill="F4F7FA"/>
          </w:tcPr>
          <w:p>
            <w:r>
              <w:rPr>
                <w:sz w:val="14"/>
              </w:rPr>
              <w:t>CONFORMING</w:t>
            </w:r>
          </w:p>
        </w:tc>
        <w:tc>
          <w:tcPr>
            <w:tcW w:type="dxa" w:w="2541"/>
            <w:vAlign w:val="top"/>
            <w:shd w:fill="F4F7FA"/>
          </w:tcPr>
          <w:p>
            <w:r>
              <w:rPr>
                <w:sz w:val="14"/>
              </w:rPr>
              <w:t>Supports CG-07.</w:t>
            </w:r>
          </w:p>
        </w:tc>
      </w:tr>
      <w:tr>
        <w:tc>
          <w:tcPr>
            <w:tcW w:type="dxa" w:w="2541"/>
            <w:vAlign w:val="top"/>
          </w:tcPr>
          <w:p>
            <w:r>
              <w:rPr>
                <w:sz w:val="14"/>
              </w:rPr>
              <w:t>SYN-CTL-09</w:t>
            </w:r>
          </w:p>
        </w:tc>
        <w:tc>
          <w:tcPr>
            <w:tcW w:type="dxa" w:w="2541"/>
            <w:vAlign w:val="top"/>
          </w:tcPr>
          <w:p>
            <w:r>
              <w:rPr>
                <w:sz w:val="14"/>
              </w:rPr>
              <w:t>Review containment and recovery scenario.</w:t>
            </w:r>
          </w:p>
        </w:tc>
        <w:tc>
          <w:tcPr>
            <w:tcW w:type="dxa" w:w="2541"/>
            <w:vAlign w:val="top"/>
          </w:tcPr>
          <w:p>
            <w:r>
              <w:rPr>
                <w:sz w:val="14"/>
              </w:rPr>
              <w:t>UNKNOWN</w:t>
            </w:r>
          </w:p>
        </w:tc>
        <w:tc>
          <w:tcPr>
            <w:tcW w:type="dxa" w:w="2541"/>
            <w:vAlign w:val="top"/>
          </w:tcPr>
          <w:p>
            <w:r>
              <w:rPr>
                <w:sz w:val="14"/>
              </w:rPr>
              <w:t>CG-09 and CG-10 constrained.</w:t>
            </w:r>
          </w:p>
        </w:tc>
      </w:tr>
      <w:tr>
        <w:tc>
          <w:tcPr>
            <w:tcW w:type="dxa" w:w="2541"/>
            <w:vAlign w:val="top"/>
            <w:shd w:fill="F4F7FA"/>
          </w:tcPr>
          <w:p>
            <w:r>
              <w:rPr>
                <w:sz w:val="14"/>
              </w:rPr>
              <w:t>SYN-CTL-10</w:t>
            </w:r>
          </w:p>
        </w:tc>
        <w:tc>
          <w:tcPr>
            <w:tcW w:type="dxa" w:w="2541"/>
            <w:vAlign w:val="top"/>
            <w:shd w:fill="F4F7FA"/>
          </w:tcPr>
          <w:p>
            <w:r>
              <w:rPr>
                <w:sz w:val="14"/>
              </w:rPr>
              <w:t>Review privilege and change evidence.</w:t>
            </w:r>
          </w:p>
        </w:tc>
        <w:tc>
          <w:tcPr>
            <w:tcW w:type="dxa" w:w="2541"/>
            <w:vAlign w:val="top"/>
            <w:shd w:fill="F4F7FA"/>
          </w:tcPr>
          <w:p>
            <w:r>
              <w:rPr>
                <w:sz w:val="14"/>
              </w:rPr>
              <w:t>CONFORMING</w:t>
            </w:r>
          </w:p>
        </w:tc>
        <w:tc>
          <w:tcPr>
            <w:tcW w:type="dxa" w:w="2541"/>
            <w:vAlign w:val="top"/>
            <w:shd w:fill="F4F7FA"/>
          </w:tcPr>
          <w:p>
            <w:r>
              <w:rPr>
                <w:sz w:val="14"/>
              </w:rPr>
              <w:t>Supports CG-15.</w:t>
            </w:r>
          </w:p>
        </w:tc>
      </w:tr>
      <w:tr>
        <w:tc>
          <w:tcPr>
            <w:tcW w:type="dxa" w:w="2541"/>
            <w:vAlign w:val="top"/>
          </w:tcPr>
          <w:p>
            <w:r>
              <w:rPr>
                <w:sz w:val="14"/>
              </w:rPr>
              <w:t>SYN-CTL-11</w:t>
            </w:r>
          </w:p>
        </w:tc>
        <w:tc>
          <w:tcPr>
            <w:tcW w:type="dxa" w:w="2541"/>
            <w:vAlign w:val="top"/>
          </w:tcPr>
          <w:p>
            <w:r>
              <w:rPr>
                <w:sz w:val="14"/>
              </w:rPr>
              <w:t>Reperform hashes and lineage.</w:t>
            </w:r>
          </w:p>
        </w:tc>
        <w:tc>
          <w:tcPr>
            <w:tcW w:type="dxa" w:w="2541"/>
            <w:vAlign w:val="top"/>
          </w:tcPr>
          <w:p>
            <w:r>
              <w:rPr>
                <w:sz w:val="14"/>
              </w:rPr>
              <w:t>CONFORMING</w:t>
            </w:r>
          </w:p>
        </w:tc>
        <w:tc>
          <w:tcPr>
            <w:tcW w:type="dxa" w:w="2541"/>
            <w:vAlign w:val="top"/>
          </w:tcPr>
          <w:p>
            <w:r>
              <w:rPr>
                <w:sz w:val="14"/>
              </w:rPr>
              <w:t>Supports CG-11.</w:t>
            </w:r>
          </w:p>
        </w:tc>
      </w:tr>
      <w:tr>
        <w:tc>
          <w:tcPr>
            <w:tcW w:type="dxa" w:w="2541"/>
            <w:vAlign w:val="top"/>
            <w:shd w:fill="F4F7FA"/>
          </w:tcPr>
          <w:p>
            <w:r>
              <w:rPr>
                <w:sz w:val="14"/>
              </w:rPr>
              <w:t>SYN-CTL-12</w:t>
            </w:r>
          </w:p>
        </w:tc>
        <w:tc>
          <w:tcPr>
            <w:tcW w:type="dxa" w:w="2541"/>
            <w:vAlign w:val="top"/>
            <w:shd w:fill="F4F7FA"/>
          </w:tcPr>
          <w:p>
            <w:r>
              <w:rPr>
                <w:sz w:val="14"/>
              </w:rPr>
              <w:t>Reperform decision and limitation wording.</w:t>
            </w:r>
          </w:p>
        </w:tc>
        <w:tc>
          <w:tcPr>
            <w:tcW w:type="dxa" w:w="2541"/>
            <w:vAlign w:val="top"/>
            <w:shd w:fill="F4F7FA"/>
          </w:tcPr>
          <w:p>
            <w:r>
              <w:rPr>
                <w:sz w:val="14"/>
              </w:rPr>
              <w:t>CONFORMING</w:t>
            </w:r>
          </w:p>
        </w:tc>
        <w:tc>
          <w:tcPr>
            <w:tcW w:type="dxa" w:w="2541"/>
            <w:vAlign w:val="top"/>
            <w:shd w:fill="F4F7FA"/>
          </w:tcPr>
          <w:p>
            <w:r>
              <w:rPr>
                <w:sz w:val="14"/>
              </w:rPr>
              <w:t>Supports decision integrity.</w:t>
            </w:r>
          </w:p>
        </w:tc>
      </w:tr>
    </w:tbl>
    <w:p/>
    <w:p>
      <w:r>
        <w:t>Gate outcome: no real-facility gate conclusion is made. Within the synthetic case, recovery and containment remain materially UNKNOWN. Coverage is 3.3333%. The appropriate bounded decision is LIMITED. The case prohibits any claim about a real facility, complete control coverage, certification or production conformance.</w:t>
      </w:r>
    </w:p>
    <w:tbl>
      <w:tblPr>
        <w:tblW w:type="auto" w:w="0"/>
        <w:tblLook w:firstColumn="1" w:firstRow="1" w:lastColumn="0" w:lastRow="0" w:noHBand="0" w:noVBand="1" w:val="04A0"/>
      </w:tblPr>
      <w:tblGrid>
        <w:gridCol w:w="10166"/>
      </w:tblGrid>
      <w:tr>
        <w:tc>
          <w:tcPr>
            <w:tcW w:type="dxa" w:w="10166"/>
            <w:shd w:fill="DCE6F1"/>
          </w:tcPr>
          <w:p>
            <w:r>
              <w:rPr>
                <w:b/>
              </w:rPr>
              <w:t>Worked-case conclusion</w:t>
              <w:br/>
            </w:r>
            <w:r>
              <w:t>LIMITED, synthetic, non-production and non-certification. The favourable results for selected controls do not overcome low catalogue coverage or material UNKNOWN.</w:t>
            </w:r>
          </w:p>
        </w:tc>
      </w:tr>
    </w:tbl>
    <w:p/>
    <w:p>
      <w:r/>
    </w:p>
    <w:p>
      <w:pPr>
        <w:pStyle w:val="Heading1"/>
      </w:pPr>
      <w:r>
        <w:t>23. Reporting and permitted descriptive claims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Claim pattern</w:t>
            </w:r>
          </w:p>
        </w:tc>
        <w:tc>
          <w:tcPr>
            <w:tcW w:type="dxa" w:w="3389"/>
            <w:shd w:fill="17365D"/>
            <w:vAlign w:val="center"/>
          </w:tcPr>
          <w:p>
            <w:r>
              <w:rPr>
                <w:b/>
                <w:color w:val="FFFFFF"/>
                <w:sz w:val="15"/>
              </w:rPr>
              <w:t>Minimum disclosure</w:t>
            </w:r>
          </w:p>
        </w:tc>
        <w:tc>
          <w:tcPr>
            <w:tcW w:type="dxa" w:w="3389"/>
            <w:shd w:fill="17365D"/>
            <w:vAlign w:val="center"/>
          </w:tcPr>
          <w:p>
            <w:r>
              <w:rPr>
                <w:b/>
                <w:color w:val="FFFFFF"/>
                <w:sz w:val="15"/>
              </w:rPr>
              <w:t>Must not imply</w:t>
            </w:r>
          </w:p>
        </w:tc>
      </w:tr>
      <w:tr>
        <w:tc>
          <w:tcPr>
            <w:tcW w:type="dxa" w:w="3389"/>
            <w:vAlign w:val="top"/>
          </w:tcPr>
          <w:p>
            <w:r>
              <w:rPr>
                <w:sz w:val="14"/>
              </w:rPr>
              <w:t>AIDCF-aligned</w:t>
            </w:r>
          </w:p>
        </w:tc>
        <w:tc>
          <w:tcPr>
            <w:tcW w:type="dxa" w:w="3389"/>
            <w:vAlign w:val="top"/>
          </w:tcPr>
          <w:p>
            <w:r>
              <w:rPr>
                <w:sz w:val="14"/>
              </w:rPr>
              <w:t>Artifact versions, adopted concepts and deviations.</w:t>
            </w:r>
          </w:p>
        </w:tc>
        <w:tc>
          <w:tcPr>
            <w:tcW w:type="dxa" w:w="3389"/>
            <w:vAlign w:val="top"/>
          </w:tcPr>
          <w:p>
            <w:r>
              <w:rPr>
                <w:sz w:val="14"/>
              </w:rPr>
              <w:t>Complete assessment.</w:t>
            </w:r>
          </w:p>
        </w:tc>
      </w:tr>
      <w:tr>
        <w:tc>
          <w:tcPr>
            <w:tcW w:type="dxa" w:w="3389"/>
            <w:vAlign w:val="top"/>
            <w:shd w:fill="F4F7FA"/>
          </w:tcPr>
          <w:p>
            <w:r>
              <w:rPr>
                <w:sz w:val="14"/>
              </w:rPr>
              <w:t>Assessed using AIDCF</w:t>
            </w:r>
          </w:p>
        </w:tc>
        <w:tc>
          <w:tcPr>
            <w:tcW w:type="dxa" w:w="3389"/>
            <w:vAlign w:val="top"/>
            <w:shd w:fill="F4F7FA"/>
          </w:tcPr>
          <w:p>
            <w:r>
              <w:rPr>
                <w:sz w:val="14"/>
              </w:rPr>
              <w:t>Capability, profile, scope, states, period, evidence access, gates and issuer.</w:t>
            </w:r>
          </w:p>
        </w:tc>
        <w:tc>
          <w:tcPr>
            <w:tcW w:type="dxa" w:w="3389"/>
            <w:vAlign w:val="top"/>
            <w:shd w:fill="F4F7FA"/>
          </w:tcPr>
          <w:p>
            <w:r>
              <w:rPr>
                <w:sz w:val="14"/>
              </w:rPr>
              <w:t>Certification or universal safety.</w:t>
            </w:r>
          </w:p>
        </w:tc>
      </w:tr>
      <w:tr>
        <w:tc>
          <w:tcPr>
            <w:tcW w:type="dxa" w:w="3389"/>
            <w:vAlign w:val="top"/>
          </w:tcPr>
          <w:p>
            <w:r>
              <w:rPr>
                <w:sz w:val="14"/>
              </w:rPr>
              <w:t>AIDCF assurance-ready</w:t>
            </w:r>
          </w:p>
        </w:tc>
        <w:tc>
          <w:tcPr>
            <w:tcW w:type="dxa" w:w="3389"/>
            <w:vAlign w:val="top"/>
          </w:tcPr>
          <w:p>
            <w:r>
              <w:rPr>
                <w:sz w:val="14"/>
              </w:rPr>
              <w:t>Prepared architecture, evidence ownership and programme governance.</w:t>
            </w:r>
          </w:p>
        </w:tc>
        <w:tc>
          <w:tcPr>
            <w:tcW w:type="dxa" w:w="3389"/>
            <w:vAlign w:val="top"/>
          </w:tcPr>
          <w:p>
            <w:r>
              <w:rPr>
                <w:sz w:val="14"/>
              </w:rPr>
              <w:t>That controls are effective.</w:t>
            </w:r>
          </w:p>
        </w:tc>
      </w:tr>
      <w:tr>
        <w:tc>
          <w:tcPr>
            <w:tcW w:type="dxa" w:w="3389"/>
            <w:vAlign w:val="top"/>
            <w:shd w:fill="F4F7FA"/>
          </w:tcPr>
          <w:p>
            <w:r>
              <w:rPr>
                <w:sz w:val="14"/>
              </w:rPr>
              <w:t>Continuing-assurance enabled</w:t>
            </w:r>
          </w:p>
        </w:tc>
        <w:tc>
          <w:tcPr>
            <w:tcW w:type="dxa" w:w="3389"/>
            <w:vAlign w:val="top"/>
            <w:shd w:fill="F4F7FA"/>
          </w:tcPr>
          <w:p>
            <w:r>
              <w:rPr>
                <w:sz w:val="14"/>
              </w:rPr>
              <w:t>Approved monitoring, evidence-health and reassessment triggers.</w:t>
            </w:r>
          </w:p>
        </w:tc>
        <w:tc>
          <w:tcPr>
            <w:tcW w:type="dxa" w:w="3389"/>
            <w:vAlign w:val="top"/>
            <w:shd w:fill="F4F7FA"/>
          </w:tcPr>
          <w:p>
            <w:r>
              <w:rPr>
                <w:sz w:val="14"/>
              </w:rPr>
              <w:t>Perpetual validity or autonomous certification.</w:t>
            </w:r>
          </w:p>
        </w:tc>
      </w:tr>
    </w:tbl>
    <w:p/>
    <w:p>
      <w:r>
        <w:t>These are proposed descriptive claim patterns, not badges or conformance marks. Public mark use, eligibility, evidence packages, withdrawal and challenge procedures require separate governance. “AIDCF Certified” and “AIDCF Accredited” remain prohibited.</w:t>
      </w:r>
    </w:p>
    <w:p>
      <w:r/>
    </w:p>
    <w:p>
      <w:pPr>
        <w:pStyle w:val="Heading1"/>
      </w:pPr>
      <w:r>
        <w:t>24. AIDCF and AI Trust Graph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Integration pattern</w:t>
            </w:r>
          </w:p>
        </w:tc>
        <w:tc>
          <w:tcPr>
            <w:tcW w:type="dxa" w:w="3389"/>
            <w:shd w:fill="17365D"/>
            <w:vAlign w:val="center"/>
          </w:tcPr>
          <w:p>
            <w:r>
              <w:rPr>
                <w:b/>
                <w:color w:val="FFFFFF"/>
                <w:sz w:val="15"/>
              </w:rPr>
              <w:t>Use</w:t>
            </w:r>
          </w:p>
        </w:tc>
        <w:tc>
          <w:tcPr>
            <w:tcW w:type="dxa" w:w="3389"/>
            <w:shd w:fill="17365D"/>
            <w:vAlign w:val="center"/>
          </w:tcPr>
          <w:p>
            <w:r>
              <w:rPr>
                <w:b/>
                <w:color w:val="FFFFFF"/>
                <w:sz w:val="15"/>
              </w:rPr>
              <w:t>Constraint</w:t>
            </w:r>
          </w:p>
        </w:tc>
      </w:tr>
      <w:tr>
        <w:tc>
          <w:tcPr>
            <w:tcW w:type="dxa" w:w="3389"/>
            <w:vAlign w:val="top"/>
          </w:tcPr>
          <w:p>
            <w:r>
              <w:rPr>
                <w:sz w:val="14"/>
              </w:rPr>
              <w:t>Reference</w:t>
            </w:r>
          </w:p>
        </w:tc>
        <w:tc>
          <w:tcPr>
            <w:tcW w:type="dxa" w:w="3389"/>
            <w:vAlign w:val="top"/>
          </w:tcPr>
          <w:p>
            <w:r>
              <w:rPr>
                <w:sz w:val="14"/>
              </w:rPr>
              <w:t>One method points to an entity owned by the other.</w:t>
            </w:r>
          </w:p>
        </w:tc>
        <w:tc>
          <w:tcPr>
            <w:tcW w:type="dxa" w:w="3389"/>
            <w:vAlign w:val="top"/>
          </w:tcPr>
          <w:p>
            <w:r>
              <w:rPr>
                <w:sz w:val="14"/>
              </w:rPr>
              <w:t>Do not duplicate authoritative properties.</w:t>
            </w:r>
          </w:p>
        </w:tc>
      </w:tr>
      <w:tr>
        <w:tc>
          <w:tcPr>
            <w:tcW w:type="dxa" w:w="3389"/>
            <w:vAlign w:val="top"/>
            <w:shd w:fill="F4F7FA"/>
          </w:tcPr>
          <w:p>
            <w:r>
              <w:rPr>
                <w:sz w:val="14"/>
              </w:rPr>
              <w:t>Mapping</w:t>
            </w:r>
          </w:p>
        </w:tc>
        <w:tc>
          <w:tcPr>
            <w:tcW w:type="dxa" w:w="3389"/>
            <w:vAlign w:val="top"/>
            <w:shd w:fill="F4F7FA"/>
          </w:tcPr>
          <w:p>
            <w:r>
              <w:rPr>
                <w:sz w:val="14"/>
              </w:rPr>
              <w:t>Classes or relationships are broader, narrower, close or related.</w:t>
            </w:r>
          </w:p>
        </w:tc>
        <w:tc>
          <w:tcPr>
            <w:tcW w:type="dxa" w:w="3389"/>
            <w:vAlign w:val="top"/>
            <w:shd w:fill="F4F7FA"/>
          </w:tcPr>
          <w:p>
            <w:r>
              <w:rPr>
                <w:sz w:val="14"/>
              </w:rPr>
              <w:t>Record mapping type and reviewer.</w:t>
            </w:r>
          </w:p>
        </w:tc>
      </w:tr>
      <w:tr>
        <w:tc>
          <w:tcPr>
            <w:tcW w:type="dxa" w:w="3389"/>
            <w:vAlign w:val="top"/>
          </w:tcPr>
          <w:p>
            <w:r>
              <w:rPr>
                <w:sz w:val="14"/>
              </w:rPr>
              <w:t>Shared identity</w:t>
            </w:r>
          </w:p>
        </w:tc>
        <w:tc>
          <w:tcPr>
            <w:tcW w:type="dxa" w:w="3389"/>
            <w:vAlign w:val="top"/>
          </w:tcPr>
          <w:p>
            <w:r>
              <w:rPr>
                <w:sz w:val="14"/>
              </w:rPr>
              <w:t>The same real-world instance appears in both.</w:t>
            </w:r>
          </w:p>
        </w:tc>
        <w:tc>
          <w:tcPr>
            <w:tcW w:type="dxa" w:w="3389"/>
            <w:vAlign w:val="top"/>
          </w:tcPr>
          <w:p>
            <w:r>
              <w:rPr>
                <w:sz w:val="14"/>
              </w:rPr>
              <w:t>One global identity with method-specific views.</w:t>
            </w:r>
          </w:p>
        </w:tc>
      </w:tr>
      <w:tr>
        <w:tc>
          <w:tcPr>
            <w:tcW w:type="dxa" w:w="3389"/>
            <w:vAlign w:val="top"/>
            <w:shd w:fill="F4F7FA"/>
          </w:tcPr>
          <w:p>
            <w:r>
              <w:rPr>
                <w:sz w:val="14"/>
              </w:rPr>
              <w:t>Boundary handoff</w:t>
            </w:r>
          </w:p>
        </w:tc>
        <w:tc>
          <w:tcPr>
            <w:tcW w:type="dxa" w:w="3389"/>
            <w:vAlign w:val="top"/>
            <w:shd w:fill="F4F7FA"/>
          </w:tcPr>
          <w:p>
            <w:r>
              <w:rPr>
                <w:sz w:val="14"/>
              </w:rPr>
              <w:t>An infrastructure service becomes an AI-system dependency or enforcement point.</w:t>
            </w:r>
          </w:p>
        </w:tc>
        <w:tc>
          <w:tcPr>
            <w:tcW w:type="dxa" w:w="3389"/>
            <w:vAlign w:val="top"/>
            <w:shd w:fill="F4F7FA"/>
          </w:tcPr>
          <w:p>
            <w:r>
              <w:rPr>
                <w:sz w:val="14"/>
              </w:rPr>
              <w:t>Record conditions and effective period.</w:t>
            </w:r>
          </w:p>
        </w:tc>
      </w:tr>
      <w:tr>
        <w:tc>
          <w:tcPr>
            <w:tcW w:type="dxa" w:w="3389"/>
            <w:vAlign w:val="top"/>
          </w:tcPr>
          <w:p>
            <w:r>
              <w:rPr>
                <w:sz w:val="14"/>
              </w:rPr>
              <w:t>Scenario composition</w:t>
            </w:r>
          </w:p>
        </w:tc>
        <w:tc>
          <w:tcPr>
            <w:tcW w:type="dxa" w:w="3389"/>
            <w:vAlign w:val="top"/>
          </w:tcPr>
          <w:p>
            <w:r>
              <w:rPr>
                <w:sz w:val="14"/>
              </w:rPr>
              <w:t>Infrastructure failure path connects to trust or authority path.</w:t>
            </w:r>
          </w:p>
        </w:tc>
        <w:tc>
          <w:tcPr>
            <w:tcW w:type="dxa" w:w="3389"/>
            <w:vAlign w:val="top"/>
          </w:tcPr>
          <w:p>
            <w:r>
              <w:rPr>
                <w:sz w:val="14"/>
              </w:rPr>
              <w:t>Retain native semantics.</w:t>
            </w:r>
          </w:p>
        </w:tc>
      </w:tr>
      <w:tr>
        <w:tc>
          <w:tcPr>
            <w:tcW w:type="dxa" w:w="3389"/>
            <w:vAlign w:val="top"/>
            <w:shd w:fill="F4F7FA"/>
          </w:tcPr>
          <w:p>
            <w:r>
              <w:rPr>
                <w:sz w:val="14"/>
              </w:rPr>
              <w:t>Evidence reuse</w:t>
            </w:r>
          </w:p>
        </w:tc>
        <w:tc>
          <w:tcPr>
            <w:tcW w:type="dxa" w:w="3389"/>
            <w:vAlign w:val="top"/>
            <w:shd w:fill="F4F7FA"/>
          </w:tcPr>
          <w:p>
            <w:r>
              <w:rPr>
                <w:sz w:val="14"/>
              </w:rPr>
              <w:t>One Evidence Object supports distinct assertions.</w:t>
            </w:r>
          </w:p>
        </w:tc>
        <w:tc>
          <w:tcPr>
            <w:tcW w:type="dxa" w:w="3389"/>
            <w:vAlign w:val="top"/>
            <w:shd w:fill="F4F7FA"/>
          </w:tcPr>
          <w:p>
            <w:r>
              <w:rPr>
                <w:sz w:val="14"/>
              </w:rPr>
              <w:t>Assess relevance separately.</w:t>
            </w:r>
          </w:p>
        </w:tc>
      </w:tr>
      <w:tr>
        <w:tc>
          <w:tcPr>
            <w:tcW w:type="dxa" w:w="3389"/>
            <w:vAlign w:val="top"/>
          </w:tcPr>
          <w:p>
            <w:r>
              <w:rPr>
                <w:sz w:val="14"/>
              </w:rPr>
              <w:t>Decision federation</w:t>
            </w:r>
          </w:p>
        </w:tc>
        <w:tc>
          <w:tcPr>
            <w:tcW w:type="dxa" w:w="3389"/>
            <w:vAlign w:val="top"/>
          </w:tcPr>
          <w:p>
            <w:r>
              <w:rPr>
                <w:sz w:val="14"/>
              </w:rPr>
              <w:t>Separate conclusions appear in one package.</w:t>
            </w:r>
          </w:p>
        </w:tc>
        <w:tc>
          <w:tcPr>
            <w:tcW w:type="dxa" w:w="3389"/>
            <w:vAlign w:val="top"/>
          </w:tcPr>
          <w:p>
            <w:r>
              <w:rPr>
                <w:sz w:val="14"/>
              </w:rPr>
              <w:t>No automatic best- or worst-case aggregation.</w:t>
            </w:r>
          </w:p>
        </w:tc>
      </w:tr>
    </w:tbl>
    <w:p/>
    <w:p>
      <w:r>
        <w:t>AIDCF represents infrastructure reality and physical/digital failure. AITG represents trust, authority and exposure. The integration standard is a controlled-review draft and product architecture, proprietary algorithms, deployment design and confidential operational data remain outside its public scope.</w:t>
      </w:r>
    </w:p>
    <w:p>
      <w:r/>
    </w:p>
    <w:p>
      <w:pPr>
        <w:pStyle w:val="Heading1"/>
      </w:pPr>
      <w:r>
        <w:t>25. Adoption, maturity and economics</w:t>
      </w:r>
    </w:p>
    <w:p>
      <w:r>
        <w:t>The maturity and economic models are proposed research extensions. They are included for pilot design and are not approved AIDCF baseline content.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Maturity stage</w:t>
            </w:r>
          </w:p>
        </w:tc>
        <w:tc>
          <w:tcPr>
            <w:tcW w:type="dxa" w:w="3389"/>
            <w:shd w:fill="17365D"/>
            <w:vAlign w:val="center"/>
          </w:tcPr>
          <w:p>
            <w:r>
              <w:rPr>
                <w:b/>
                <w:color w:val="FFFFFF"/>
                <w:sz w:val="15"/>
              </w:rPr>
              <w:t>Observable capability</w:t>
            </w:r>
          </w:p>
        </w:tc>
        <w:tc>
          <w:tcPr>
            <w:tcW w:type="dxa" w:w="3389"/>
            <w:shd w:fill="17365D"/>
            <w:vAlign w:val="center"/>
          </w:tcPr>
          <w:p>
            <w:r>
              <w:rPr>
                <w:b/>
                <w:color w:val="FFFFFF"/>
                <w:sz w:val="15"/>
              </w:rPr>
              <w:t>Caution</w:t>
            </w:r>
          </w:p>
        </w:tc>
      </w:tr>
      <w:tr>
        <w:tc>
          <w:tcPr>
            <w:tcW w:type="dxa" w:w="3389"/>
            <w:vAlign w:val="top"/>
          </w:tcPr>
          <w:p>
            <w:r>
              <w:rPr>
                <w:sz w:val="14"/>
              </w:rPr>
              <w:t>1 Foundational</w:t>
            </w:r>
          </w:p>
        </w:tc>
        <w:tc>
          <w:tcPr>
            <w:tcW w:type="dxa" w:w="3389"/>
            <w:vAlign w:val="top"/>
          </w:tcPr>
          <w:p>
            <w:r>
              <w:rPr>
                <w:sz w:val="14"/>
              </w:rPr>
              <w:t>Named owner, bounded capability and critical evidence inventory.</w:t>
            </w:r>
          </w:p>
        </w:tc>
        <w:tc>
          <w:tcPr>
            <w:tcW w:type="dxa" w:w="3389"/>
            <w:vAlign w:val="top"/>
          </w:tcPr>
          <w:p>
            <w:r>
              <w:rPr>
                <w:sz w:val="14"/>
              </w:rPr>
              <w:t>Not an assurance conclusion.</w:t>
            </w:r>
          </w:p>
        </w:tc>
      </w:tr>
      <w:tr>
        <w:tc>
          <w:tcPr>
            <w:tcW w:type="dxa" w:w="3389"/>
            <w:vAlign w:val="top"/>
            <w:shd w:fill="F4F7FA"/>
          </w:tcPr>
          <w:p>
            <w:r>
              <w:rPr>
                <w:sz w:val="14"/>
              </w:rPr>
              <w:t>2 Managed</w:t>
            </w:r>
          </w:p>
        </w:tc>
        <w:tc>
          <w:tcPr>
            <w:tcW w:type="dxa" w:w="3389"/>
            <w:vAlign w:val="top"/>
            <w:shd w:fill="F4F7FA"/>
          </w:tcPr>
          <w:p>
            <w:r>
              <w:rPr>
                <w:sz w:val="14"/>
              </w:rPr>
              <w:t>Repeatable ownership, architecture and issue management.</w:t>
            </w:r>
          </w:p>
        </w:tc>
        <w:tc>
          <w:tcPr>
            <w:tcW w:type="dxa" w:w="3389"/>
            <w:vAlign w:val="top"/>
            <w:shd w:fill="F4F7FA"/>
          </w:tcPr>
          <w:p>
            <w:r>
              <w:rPr>
                <w:sz w:val="14"/>
              </w:rPr>
              <w:t>Local consistency only.</w:t>
            </w:r>
          </w:p>
        </w:tc>
      </w:tr>
      <w:tr>
        <w:tc>
          <w:tcPr>
            <w:tcW w:type="dxa" w:w="3389"/>
            <w:vAlign w:val="top"/>
          </w:tcPr>
          <w:p>
            <w:r>
              <w:rPr>
                <w:sz w:val="14"/>
              </w:rPr>
              <w:t>3 Defined</w:t>
            </w:r>
          </w:p>
        </w:tc>
        <w:tc>
          <w:tcPr>
            <w:tcW w:type="dxa" w:w="3389"/>
            <w:vAlign w:val="top"/>
          </w:tcPr>
          <w:p>
            <w:r>
              <w:rPr>
                <w:sz w:val="14"/>
              </w:rPr>
              <w:t>Standard profiles, canonical IDs and traceable assessments.</w:t>
            </w:r>
          </w:p>
        </w:tc>
        <w:tc>
          <w:tcPr>
            <w:tcW w:type="dxa" w:w="3389"/>
            <w:vAlign w:val="top"/>
          </w:tcPr>
          <w:p>
            <w:r>
              <w:rPr>
                <w:sz w:val="14"/>
              </w:rPr>
              <w:t>Requires quality review.</w:t>
            </w:r>
          </w:p>
        </w:tc>
      </w:tr>
      <w:tr>
        <w:tc>
          <w:tcPr>
            <w:tcW w:type="dxa" w:w="3389"/>
            <w:vAlign w:val="top"/>
            <w:shd w:fill="F4F7FA"/>
          </w:tcPr>
          <w:p>
            <w:r>
              <w:rPr>
                <w:sz w:val="14"/>
              </w:rPr>
              <w:t>4 Measured</w:t>
            </w:r>
          </w:p>
        </w:tc>
        <w:tc>
          <w:tcPr>
            <w:tcW w:type="dxa" w:w="3389"/>
            <w:vAlign w:val="top"/>
            <w:shd w:fill="F4F7FA"/>
          </w:tcPr>
          <w:p>
            <w:r>
              <w:rPr>
                <w:sz w:val="14"/>
              </w:rPr>
              <w:t>Evidence health, scenario tests and calibrated indicators.</w:t>
            </w:r>
          </w:p>
        </w:tc>
        <w:tc>
          <w:tcPr>
            <w:tcW w:type="dxa" w:w="3389"/>
            <w:vAlign w:val="top"/>
            <w:shd w:fill="F4F7FA"/>
          </w:tcPr>
          <w:p>
            <w:r>
              <w:rPr>
                <w:sz w:val="14"/>
              </w:rPr>
              <w:t>Requires comparable scope and method.</w:t>
            </w:r>
          </w:p>
        </w:tc>
      </w:tr>
      <w:tr>
        <w:tc>
          <w:tcPr>
            <w:tcW w:type="dxa" w:w="3389"/>
            <w:vAlign w:val="top"/>
          </w:tcPr>
          <w:p>
            <w:r>
              <w:rPr>
                <w:sz w:val="14"/>
              </w:rPr>
              <w:t>5 Adaptive and continuously evidenced</w:t>
            </w:r>
          </w:p>
        </w:tc>
        <w:tc>
          <w:tcPr>
            <w:tcW w:type="dxa" w:w="3389"/>
            <w:vAlign w:val="top"/>
          </w:tcPr>
          <w:p>
            <w:r>
              <w:rPr>
                <w:sz w:val="14"/>
              </w:rPr>
              <w:t>Independent challenge, timely suspension and controlled evolution.</w:t>
            </w:r>
          </w:p>
        </w:tc>
        <w:tc>
          <w:tcPr>
            <w:tcW w:type="dxa" w:w="3389"/>
            <w:vAlign w:val="top"/>
          </w:tcPr>
          <w:p>
            <w:r>
              <w:rPr>
                <w:sz w:val="14"/>
              </w:rPr>
              <w:t>Must not be branded “Assured.”</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Economic mechanism</w:t>
            </w:r>
          </w:p>
        </w:tc>
        <w:tc>
          <w:tcPr>
            <w:tcW w:type="dxa" w:w="5083"/>
            <w:shd w:fill="17365D"/>
            <w:vAlign w:val="center"/>
          </w:tcPr>
          <w:p>
            <w:r>
              <w:rPr>
                <w:b/>
                <w:color w:val="FFFFFF"/>
                <w:sz w:val="15"/>
              </w:rPr>
              <w:t>Pilot measure</w:t>
            </w:r>
          </w:p>
        </w:tc>
      </w:tr>
      <w:tr>
        <w:tc>
          <w:tcPr>
            <w:tcW w:type="dxa" w:w="5083"/>
            <w:vAlign w:val="top"/>
          </w:tcPr>
          <w:p>
            <w:r>
              <w:rPr>
                <w:sz w:val="14"/>
              </w:rPr>
              <w:t>Stranded accelerator capacity</w:t>
            </w:r>
          </w:p>
        </w:tc>
        <w:tc>
          <w:tcPr>
            <w:tcW w:type="dxa" w:w="5083"/>
            <w:vAlign w:val="top"/>
          </w:tcPr>
          <w:p>
            <w:r>
              <w:rPr>
                <w:sz w:val="14"/>
              </w:rPr>
              <w:t>Unavailable accelerator-hours attributable to facility or service-chain constraints.</w:t>
            </w:r>
          </w:p>
        </w:tc>
      </w:tr>
      <w:tr>
        <w:tc>
          <w:tcPr>
            <w:tcW w:type="dxa" w:w="5083"/>
            <w:vAlign w:val="top"/>
            <w:shd w:fill="F4F7FA"/>
          </w:tcPr>
          <w:p>
            <w:r>
              <w:rPr>
                <w:sz w:val="14"/>
              </w:rPr>
              <w:t>Training interruption</w:t>
            </w:r>
          </w:p>
        </w:tc>
        <w:tc>
          <w:tcPr>
            <w:tcW w:type="dxa" w:w="5083"/>
            <w:vAlign w:val="top"/>
            <w:shd w:fill="F4F7FA"/>
          </w:tcPr>
          <w:p>
            <w:r>
              <w:rPr>
                <w:sz w:val="14"/>
              </w:rPr>
              <w:t>Rework, restart frequency and lost job time.</w:t>
            </w:r>
          </w:p>
        </w:tc>
      </w:tr>
      <w:tr>
        <w:tc>
          <w:tcPr>
            <w:tcW w:type="dxa" w:w="5083"/>
            <w:vAlign w:val="top"/>
          </w:tcPr>
          <w:p>
            <w:r>
              <w:rPr>
                <w:sz w:val="14"/>
              </w:rPr>
              <w:t>Inference degradation</w:t>
            </w:r>
          </w:p>
        </w:tc>
        <w:tc>
          <w:tcPr>
            <w:tcW w:type="dxa" w:w="5083"/>
            <w:vAlign w:val="top"/>
          </w:tcPr>
          <w:p>
            <w:r>
              <w:rPr>
                <w:sz w:val="14"/>
              </w:rPr>
              <w:t>Service-outcome breach frequency and duration.</w:t>
            </w:r>
          </w:p>
        </w:tc>
      </w:tr>
      <w:tr>
        <w:tc>
          <w:tcPr>
            <w:tcW w:type="dxa" w:w="5083"/>
            <w:vAlign w:val="top"/>
            <w:shd w:fill="F4F7FA"/>
          </w:tcPr>
          <w:p>
            <w:r>
              <w:rPr>
                <w:sz w:val="14"/>
              </w:rPr>
              <w:t>Emergency intervention</w:t>
            </w:r>
          </w:p>
        </w:tc>
        <w:tc>
          <w:tcPr>
            <w:tcW w:type="dxa" w:w="5083"/>
            <w:vAlign w:val="top"/>
            <w:shd w:fill="F4F7FA"/>
          </w:tcPr>
          <w:p>
            <w:r>
              <w:rPr>
                <w:sz w:val="14"/>
              </w:rPr>
              <w:t>Unplanned specialist, vendor and logistics cost.</w:t>
            </w:r>
          </w:p>
        </w:tc>
      </w:tr>
      <w:tr>
        <w:tc>
          <w:tcPr>
            <w:tcW w:type="dxa" w:w="5083"/>
            <w:vAlign w:val="top"/>
          </w:tcPr>
          <w:p>
            <w:r>
              <w:rPr>
                <w:sz w:val="14"/>
              </w:rPr>
              <w:t>Delayed programme value</w:t>
            </w:r>
          </w:p>
        </w:tc>
        <w:tc>
          <w:tcPr>
            <w:tcW w:type="dxa" w:w="5083"/>
            <w:vAlign w:val="top"/>
          </w:tcPr>
          <w:p>
            <w:r>
              <w:rPr>
                <w:sz w:val="14"/>
              </w:rPr>
              <w:t>Decision delay attributable to infrastructure uncertainty.</w:t>
            </w:r>
          </w:p>
        </w:tc>
      </w:tr>
      <w:tr>
        <w:tc>
          <w:tcPr>
            <w:tcW w:type="dxa" w:w="5083"/>
            <w:vAlign w:val="top"/>
            <w:shd w:fill="F4F7FA"/>
          </w:tcPr>
          <w:p>
            <w:r>
              <w:rPr>
                <w:sz w:val="14"/>
              </w:rPr>
              <w:t>Evidence friction</w:t>
            </w:r>
          </w:p>
        </w:tc>
        <w:tc>
          <w:tcPr>
            <w:tcW w:type="dxa" w:w="5083"/>
            <w:vAlign w:val="top"/>
            <w:shd w:fill="F4F7FA"/>
          </w:tcPr>
          <w:p>
            <w:r>
              <w:rPr>
                <w:sz w:val="14"/>
              </w:rPr>
              <w:t>Repeated evidence collection and review effort.</w:t>
            </w:r>
          </w:p>
        </w:tc>
      </w:tr>
    </w:tbl>
    <w:p/>
    <w:p>
      <w:r/>
    </w:p>
    <w:p>
      <w:pPr>
        <w:pStyle w:val="Heading1"/>
      </w:pPr>
      <w:r>
        <w:t>26. Validation status and roadmap</w:t>
      </w:r>
    </w:p>
    <w:p>
      <w:pPr>
        <w:jc w:val="center"/>
      </w:pPr>
      <w:r/>
    </w:p>
    <w:p>
      <w:pPr>
        <w:pStyle w:val="Caption"/>
        <w:jc w:val="center"/>
      </w:pPr>
      <w:r>
        <w:t>Figure 5. Validation roadmap from synthetic execution to independent evidence.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Validation item</w:t>
            </w:r>
          </w:p>
        </w:tc>
        <w:tc>
          <w:tcPr>
            <w:tcW w:type="dxa" w:w="3389"/>
            <w:shd w:fill="17365D"/>
            <w:vAlign w:val="center"/>
          </w:tcPr>
          <w:p>
            <w:r>
              <w:rPr>
                <w:b/>
                <w:color w:val="FFFFFF"/>
                <w:sz w:val="15"/>
              </w:rPr>
              <w:t>Current status</w:t>
            </w:r>
          </w:p>
        </w:tc>
        <w:tc>
          <w:tcPr>
            <w:tcW w:type="dxa" w:w="3389"/>
            <w:shd w:fill="17365D"/>
            <w:vAlign w:val="center"/>
          </w:tcPr>
          <w:p>
            <w:r>
              <w:rPr>
                <w:b/>
                <w:color w:val="FFFFFF"/>
                <w:sz w:val="15"/>
              </w:rPr>
              <w:t>Required closure</w:t>
            </w:r>
          </w:p>
        </w:tc>
      </w:tr>
      <w:tr>
        <w:tc>
          <w:tcPr>
            <w:tcW w:type="dxa" w:w="3389"/>
            <w:vAlign w:val="top"/>
          </w:tcPr>
          <w:p>
            <w:r>
              <w:rPr>
                <w:sz w:val="14"/>
              </w:rPr>
              <w:t>Canonical identity and cardinality</w:t>
            </w:r>
          </w:p>
        </w:tc>
        <w:tc>
          <w:tcPr>
            <w:tcW w:type="dxa" w:w="3389"/>
            <w:vAlign w:val="top"/>
          </w:tcPr>
          <w:p>
            <w:r>
              <w:rPr>
                <w:sz w:val="14"/>
              </w:rPr>
              <w:t>Approved 15/90/360 baseline.</w:t>
            </w:r>
          </w:p>
        </w:tc>
        <w:tc>
          <w:tcPr>
            <w:tcW w:type="dxa" w:w="3389"/>
            <w:vAlign w:val="top"/>
          </w:tcPr>
          <w:p>
            <w:r>
              <w:rPr>
                <w:sz w:val="14"/>
              </w:rPr>
              <w:t>Maintain controlled registry and supersession.</w:t>
            </w:r>
          </w:p>
        </w:tc>
      </w:tr>
      <w:tr>
        <w:tc>
          <w:tcPr>
            <w:tcW w:type="dxa" w:w="3389"/>
            <w:vAlign w:val="top"/>
            <w:shd w:fill="F4F7FA"/>
          </w:tcPr>
          <w:p>
            <w:r>
              <w:rPr>
                <w:sz w:val="14"/>
              </w:rPr>
              <w:t>Synthetic package</w:t>
            </w:r>
          </w:p>
        </w:tc>
        <w:tc>
          <w:tcPr>
            <w:tcW w:type="dxa" w:w="3389"/>
            <w:vAlign w:val="top"/>
            <w:shd w:fill="F4F7FA"/>
          </w:tcPr>
          <w:p>
            <w:r>
              <w:rPr>
                <w:sz w:val="14"/>
              </w:rPr>
              <w:t>Baseline-aligned, twelve representative controls.</w:t>
            </w:r>
          </w:p>
        </w:tc>
        <w:tc>
          <w:tcPr>
            <w:tcW w:type="dxa" w:w="3389"/>
            <w:vAlign w:val="top"/>
            <w:shd w:fill="F4F7FA"/>
          </w:tcPr>
          <w:p>
            <w:r>
              <w:rPr>
                <w:sz w:val="14"/>
              </w:rPr>
              <w:t>Retain limited, synthetic claim.</w:t>
            </w:r>
          </w:p>
        </w:tc>
      </w:tr>
      <w:tr>
        <w:tc>
          <w:tcPr>
            <w:tcW w:type="dxa" w:w="3389"/>
            <w:vAlign w:val="top"/>
          </w:tcPr>
          <w:p>
            <w:r>
              <w:rPr>
                <w:sz w:val="14"/>
              </w:rPr>
              <w:t>Independent T7 execution</w:t>
            </w:r>
          </w:p>
        </w:tc>
        <w:tc>
          <w:tcPr>
            <w:tcW w:type="dxa" w:w="3389"/>
            <w:vAlign w:val="top"/>
          </w:tcPr>
          <w:p>
            <w:r>
              <w:rPr>
                <w:sz w:val="14"/>
              </w:rPr>
              <w:t>Pending.</w:t>
            </w:r>
          </w:p>
        </w:tc>
        <w:tc>
          <w:tcPr>
            <w:tcW w:type="dxa" w:w="3389"/>
            <w:vAlign w:val="top"/>
          </w:tcPr>
          <w:p>
            <w:r>
              <w:rPr>
                <w:sz w:val="14"/>
              </w:rPr>
              <w:t>Independent rerun and signed report.</w:t>
            </w:r>
          </w:p>
        </w:tc>
      </w:tr>
      <w:tr>
        <w:tc>
          <w:tcPr>
            <w:tcW w:type="dxa" w:w="3389"/>
            <w:vAlign w:val="top"/>
            <w:shd w:fill="F4F7FA"/>
          </w:tcPr>
          <w:p>
            <w:r>
              <w:rPr>
                <w:sz w:val="14"/>
              </w:rPr>
              <w:t>RDF/SHACL runtime</w:t>
            </w:r>
          </w:p>
        </w:tc>
        <w:tc>
          <w:tcPr>
            <w:tcW w:type="dxa" w:w="3389"/>
            <w:vAlign w:val="top"/>
            <w:shd w:fill="F4F7FA"/>
          </w:tcPr>
          <w:p>
            <w:r>
              <w:rPr>
                <w:sz w:val="14"/>
              </w:rPr>
              <w:t>Attempted when runtime available; static tests retained.</w:t>
            </w:r>
          </w:p>
        </w:tc>
        <w:tc>
          <w:tcPr>
            <w:tcW w:type="dxa" w:w="3389"/>
            <w:vAlign w:val="top"/>
            <w:shd w:fill="F4F7FA"/>
          </w:tcPr>
          <w:p>
            <w:r>
              <w:rPr>
                <w:sz w:val="14"/>
              </w:rPr>
              <w:t>Capture tool versions and executed output.</w:t>
            </w:r>
          </w:p>
        </w:tc>
      </w:tr>
      <w:tr>
        <w:tc>
          <w:tcPr>
            <w:tcW w:type="dxa" w:w="3389"/>
            <w:vAlign w:val="top"/>
          </w:tcPr>
          <w:p>
            <w:r>
              <w:rPr>
                <w:sz w:val="14"/>
              </w:rPr>
              <w:t>Real capability pilot</w:t>
            </w:r>
          </w:p>
        </w:tc>
        <w:tc>
          <w:tcPr>
            <w:tcW w:type="dxa" w:w="3389"/>
            <w:vAlign w:val="top"/>
          </w:tcPr>
          <w:p>
            <w:r>
              <w:rPr>
                <w:sz w:val="14"/>
              </w:rPr>
              <w:t>Not completed.</w:t>
            </w:r>
          </w:p>
        </w:tc>
        <w:tc>
          <w:tcPr>
            <w:tcW w:type="dxa" w:w="3389"/>
            <w:vAlign w:val="top"/>
          </w:tcPr>
          <w:p>
            <w:r>
              <w:rPr>
                <w:sz w:val="14"/>
              </w:rPr>
              <w:t>Authorised multidisciplinary pilot.</w:t>
            </w:r>
          </w:p>
        </w:tc>
      </w:tr>
      <w:tr>
        <w:tc>
          <w:tcPr>
            <w:tcW w:type="dxa" w:w="3389"/>
            <w:vAlign w:val="top"/>
            <w:shd w:fill="F4F7FA"/>
          </w:tcPr>
          <w:p>
            <w:r>
              <w:rPr>
                <w:sz w:val="14"/>
              </w:rPr>
              <w:t>Inter-rater reproducibility</w:t>
            </w:r>
          </w:p>
        </w:tc>
        <w:tc>
          <w:tcPr>
            <w:tcW w:type="dxa" w:w="3389"/>
            <w:vAlign w:val="top"/>
            <w:shd w:fill="F4F7FA"/>
          </w:tcPr>
          <w:p>
            <w:r>
              <w:rPr>
                <w:sz w:val="14"/>
              </w:rPr>
              <w:t>Not completed.</w:t>
            </w:r>
          </w:p>
        </w:tc>
        <w:tc>
          <w:tcPr>
            <w:tcW w:type="dxa" w:w="3389"/>
            <w:vAlign w:val="top"/>
            <w:shd w:fill="F4F7FA"/>
          </w:tcPr>
          <w:p>
            <w:r>
              <w:rPr>
                <w:sz w:val="14"/>
              </w:rPr>
              <w:t>Independent teams and disagreement analysis.</w:t>
            </w:r>
          </w:p>
        </w:tc>
      </w:tr>
      <w:tr>
        <w:tc>
          <w:tcPr>
            <w:tcW w:type="dxa" w:w="3389"/>
            <w:vAlign w:val="top"/>
          </w:tcPr>
          <w:p>
            <w:r>
              <w:rPr>
                <w:sz w:val="14"/>
              </w:rPr>
              <w:t>Multi-site calibration</w:t>
            </w:r>
          </w:p>
        </w:tc>
        <w:tc>
          <w:tcPr>
            <w:tcW w:type="dxa" w:w="3389"/>
            <w:vAlign w:val="top"/>
          </w:tcPr>
          <w:p>
            <w:r>
              <w:rPr>
                <w:sz w:val="14"/>
              </w:rPr>
              <w:t>Not completed.</w:t>
            </w:r>
          </w:p>
        </w:tc>
        <w:tc>
          <w:tcPr>
            <w:tcW w:type="dxa" w:w="3389"/>
            <w:vAlign w:val="top"/>
          </w:tcPr>
          <w:p>
            <w:r>
              <w:rPr>
                <w:sz w:val="14"/>
              </w:rPr>
              <w:t>Different architectures, providers and operating models.</w:t>
            </w:r>
          </w:p>
        </w:tc>
      </w:tr>
      <w:tr>
        <w:tc>
          <w:tcPr>
            <w:tcW w:type="dxa" w:w="3389"/>
            <w:vAlign w:val="top"/>
            <w:shd w:fill="F4F7FA"/>
          </w:tcPr>
          <w:p>
            <w:r>
              <w:rPr>
                <w:sz w:val="14"/>
              </w:rPr>
              <w:t>Public benchmark corpus</w:t>
            </w:r>
          </w:p>
        </w:tc>
        <w:tc>
          <w:tcPr>
            <w:tcW w:type="dxa" w:w="3389"/>
            <w:vAlign w:val="top"/>
            <w:shd w:fill="F4F7FA"/>
          </w:tcPr>
          <w:p>
            <w:r>
              <w:rPr>
                <w:sz w:val="14"/>
              </w:rPr>
              <w:t>Not completed.</w:t>
            </w:r>
          </w:p>
        </w:tc>
        <w:tc>
          <w:tcPr>
            <w:tcW w:type="dxa" w:w="3389"/>
            <w:vAlign w:val="top"/>
            <w:shd w:fill="F4F7FA"/>
          </w:tcPr>
          <w:p>
            <w:r>
              <w:rPr>
                <w:sz w:val="14"/>
              </w:rPr>
              <w:t>Anonymised permitted cases and expected outputs.</w:t>
            </w:r>
          </w:p>
        </w:tc>
      </w:tr>
    </w:tbl>
    <w:p/>
    <w:p>
      <w:r/>
    </w:p>
    <w:p>
      <w:pPr>
        <w:pStyle w:val="Heading1"/>
      </w:pPr>
      <w:r>
        <w:t>27. Threats to validity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Threat</w:t>
            </w:r>
          </w:p>
        </w:tc>
        <w:tc>
          <w:tcPr>
            <w:tcW w:type="dxa" w:w="3389"/>
            <w:shd w:fill="17365D"/>
            <w:vAlign w:val="center"/>
          </w:tcPr>
          <w:p>
            <w:r>
              <w:rPr>
                <w:b/>
                <w:color w:val="FFFFFF"/>
                <w:sz w:val="15"/>
              </w:rPr>
              <w:t>Effect</w:t>
            </w:r>
          </w:p>
        </w:tc>
        <w:tc>
          <w:tcPr>
            <w:tcW w:type="dxa" w:w="3389"/>
            <w:shd w:fill="17365D"/>
            <w:vAlign w:val="center"/>
          </w:tcPr>
          <w:p>
            <w:r>
              <w:rPr>
                <w:b/>
                <w:color w:val="FFFFFF"/>
                <w:sz w:val="15"/>
              </w:rPr>
              <w:t>Mitigation</w:t>
            </w:r>
          </w:p>
        </w:tc>
      </w:tr>
      <w:tr>
        <w:tc>
          <w:tcPr>
            <w:tcW w:type="dxa" w:w="3389"/>
            <w:vAlign w:val="top"/>
          </w:tcPr>
          <w:p>
            <w:r>
              <w:rPr>
                <w:sz w:val="14"/>
              </w:rPr>
              <w:t>Author concentration</w:t>
            </w:r>
          </w:p>
        </w:tc>
        <w:tc>
          <w:tcPr>
            <w:tcW w:type="dxa" w:w="3389"/>
            <w:vAlign w:val="top"/>
          </w:tcPr>
          <w:p>
            <w:r>
              <w:rPr>
                <w:sz w:val="14"/>
              </w:rPr>
              <w:t>Framework design and review may reflect one viewpoint.</w:t>
            </w:r>
          </w:p>
        </w:tc>
        <w:tc>
          <w:tcPr>
            <w:tcW w:type="dxa" w:w="3389"/>
            <w:vAlign w:val="top"/>
          </w:tcPr>
          <w:p>
            <w:r>
              <w:rPr>
                <w:sz w:val="14"/>
              </w:rPr>
              <w:t>Independent multidisciplinary reviewers and public dispositions.</w:t>
            </w:r>
          </w:p>
        </w:tc>
      </w:tr>
      <w:tr>
        <w:tc>
          <w:tcPr>
            <w:tcW w:type="dxa" w:w="3389"/>
            <w:vAlign w:val="top"/>
            <w:shd w:fill="F4F7FA"/>
          </w:tcPr>
          <w:p>
            <w:r>
              <w:rPr>
                <w:sz w:val="14"/>
              </w:rPr>
              <w:t>Source-selection bias</w:t>
            </w:r>
          </w:p>
        </w:tc>
        <w:tc>
          <w:tcPr>
            <w:tcW w:type="dxa" w:w="3389"/>
            <w:vAlign w:val="top"/>
            <w:shd w:fill="F4F7FA"/>
          </w:tcPr>
          <w:p>
            <w:r>
              <w:rPr>
                <w:sz w:val="14"/>
              </w:rPr>
              <w:t>Compared literature may omit adjacent methods.</w:t>
            </w:r>
          </w:p>
        </w:tc>
        <w:tc>
          <w:tcPr>
            <w:tcW w:type="dxa" w:w="3389"/>
            <w:vAlign w:val="top"/>
            <w:shd w:fill="F4F7FA"/>
          </w:tcPr>
          <w:p>
            <w:r>
              <w:rPr>
                <w:sz w:val="14"/>
              </w:rPr>
              <w:t>Publish source register, search terms and inclusion criteria.</w:t>
            </w:r>
          </w:p>
        </w:tc>
      </w:tr>
      <w:tr>
        <w:tc>
          <w:tcPr>
            <w:tcW w:type="dxa" w:w="3389"/>
            <w:vAlign w:val="top"/>
          </w:tcPr>
          <w:p>
            <w:r>
              <w:rPr>
                <w:sz w:val="14"/>
              </w:rPr>
              <w:t>Construct validity</w:t>
            </w:r>
          </w:p>
        </w:tc>
        <w:tc>
          <w:tcPr>
            <w:tcW w:type="dxa" w:w="3389"/>
            <w:vAlign w:val="top"/>
          </w:tcPr>
          <w:p>
            <w:r>
              <w:rPr>
                <w:sz w:val="14"/>
              </w:rPr>
              <w:t>Domains, gates or maturity stages may not measure intended constructs.</w:t>
            </w:r>
          </w:p>
        </w:tc>
        <w:tc>
          <w:tcPr>
            <w:tcW w:type="dxa" w:w="3389"/>
            <w:vAlign w:val="top"/>
          </w:tcPr>
          <w:p>
            <w:r>
              <w:rPr>
                <w:sz w:val="14"/>
              </w:rPr>
              <w:t>Expert review, pilot observation and revision.</w:t>
            </w:r>
          </w:p>
        </w:tc>
      </w:tr>
      <w:tr>
        <w:tc>
          <w:tcPr>
            <w:tcW w:type="dxa" w:w="3389"/>
            <w:vAlign w:val="top"/>
            <w:shd w:fill="F4F7FA"/>
          </w:tcPr>
          <w:p>
            <w:r>
              <w:rPr>
                <w:sz w:val="14"/>
              </w:rPr>
              <w:t>Synthetic-case bias</w:t>
            </w:r>
          </w:p>
        </w:tc>
        <w:tc>
          <w:tcPr>
            <w:tcW w:type="dxa" w:w="3389"/>
            <w:vAlign w:val="top"/>
            <w:shd w:fill="F4F7FA"/>
          </w:tcPr>
          <w:p>
            <w:r>
              <w:rPr>
                <w:sz w:val="14"/>
              </w:rPr>
              <w:t>Fixtures can reflect designed rules rather than operational complexity.</w:t>
            </w:r>
          </w:p>
        </w:tc>
        <w:tc>
          <w:tcPr>
            <w:tcW w:type="dxa" w:w="3389"/>
            <w:vAlign w:val="top"/>
            <w:shd w:fill="F4F7FA"/>
          </w:tcPr>
          <w:p>
            <w:r>
              <w:rPr>
                <w:sz w:val="14"/>
              </w:rPr>
              <w:t>Real evidence, messy data and external cases.</w:t>
            </w:r>
          </w:p>
        </w:tc>
      </w:tr>
      <w:tr>
        <w:tc>
          <w:tcPr>
            <w:tcW w:type="dxa" w:w="3389"/>
            <w:vAlign w:val="top"/>
          </w:tcPr>
          <w:p>
            <w:r>
              <w:rPr>
                <w:sz w:val="14"/>
              </w:rPr>
              <w:t>Inter-rater variability</w:t>
            </w:r>
          </w:p>
        </w:tc>
        <w:tc>
          <w:tcPr>
            <w:tcW w:type="dxa" w:w="3389"/>
            <w:vAlign w:val="top"/>
          </w:tcPr>
          <w:p>
            <w:r>
              <w:rPr>
                <w:sz w:val="14"/>
              </w:rPr>
              <w:t>Different assessors may interpret requirements differently.</w:t>
            </w:r>
          </w:p>
        </w:tc>
        <w:tc>
          <w:tcPr>
            <w:tcW w:type="dxa" w:w="3389"/>
            <w:vAlign w:val="top"/>
          </w:tcPr>
          <w:p>
            <w:r>
              <w:rPr>
                <w:sz w:val="14"/>
              </w:rPr>
              <w:t>Calibration, decision rules and blinded comparison.</w:t>
            </w:r>
          </w:p>
        </w:tc>
      </w:tr>
      <w:tr>
        <w:tc>
          <w:tcPr>
            <w:tcW w:type="dxa" w:w="3389"/>
            <w:vAlign w:val="top"/>
            <w:shd w:fill="F4F7FA"/>
          </w:tcPr>
          <w:p>
            <w:r>
              <w:rPr>
                <w:sz w:val="14"/>
              </w:rPr>
              <w:t>Commercial confirmation bias</w:t>
            </w:r>
          </w:p>
        </w:tc>
        <w:tc>
          <w:tcPr>
            <w:tcW w:type="dxa" w:w="3389"/>
            <w:vAlign w:val="top"/>
            <w:shd w:fill="F4F7FA"/>
          </w:tcPr>
          <w:p>
            <w:r>
              <w:rPr>
                <w:sz w:val="14"/>
              </w:rPr>
              <w:t>Economic value may be overstated.</w:t>
            </w:r>
          </w:p>
        </w:tc>
        <w:tc>
          <w:tcPr>
            <w:tcW w:type="dxa" w:w="3389"/>
            <w:vAlign w:val="top"/>
            <w:shd w:fill="F4F7FA"/>
          </w:tcPr>
          <w:p>
            <w:r>
              <w:rPr>
                <w:sz w:val="14"/>
              </w:rPr>
              <w:t>Predefined pilot measures and transparent null results.</w:t>
            </w:r>
          </w:p>
        </w:tc>
      </w:tr>
      <w:tr>
        <w:tc>
          <w:tcPr>
            <w:tcW w:type="dxa" w:w="3389"/>
            <w:vAlign w:val="top"/>
          </w:tcPr>
          <w:p>
            <w:r>
              <w:rPr>
                <w:sz w:val="14"/>
              </w:rPr>
              <w:t>Security disclosure risk</w:t>
            </w:r>
          </w:p>
        </w:tc>
        <w:tc>
          <w:tcPr>
            <w:tcW w:type="dxa" w:w="3389"/>
            <w:vAlign w:val="top"/>
          </w:tcPr>
          <w:p>
            <w:r>
              <w:rPr>
                <w:sz w:val="14"/>
              </w:rPr>
              <w:t>Detailed dependency paths may expose sensitive infrastructure.</w:t>
            </w:r>
          </w:p>
        </w:tc>
        <w:tc>
          <w:tcPr>
            <w:tcW w:type="dxa" w:w="3389"/>
            <w:vAlign w:val="top"/>
          </w:tcPr>
          <w:p>
            <w:r>
              <w:rPr>
                <w:sz w:val="14"/>
              </w:rPr>
              <w:t>Classification, minimisation and controlled reporting.</w:t>
            </w:r>
          </w:p>
        </w:tc>
      </w:tr>
    </w:tbl>
    <w:p/>
    <w:p>
      <w:r/>
    </w:p>
    <w:p>
      <w:pPr>
        <w:pStyle w:val="Heading1"/>
      </w:pPr>
      <w:r>
        <w:t>28. Limitations and exclusions</w:t>
      </w:r>
    </w:p>
    <w:p>
      <w:pPr>
        <w:pStyle w:val="ListBullet"/>
      </w:pPr>
      <w:r>
        <w:t>AIDCF is a research framework and controlled methodology, not an accredited standard or certification scheme.</w:t>
      </w:r>
    </w:p>
    <w:p>
      <w:pPr>
        <w:pStyle w:val="ListBullet"/>
      </w:pPr>
      <w:r>
        <w:t>The control baseline has approved identity and cardinality, but substantive adequacy still requires multidisciplinary review and pilot evidence.</w:t>
      </w:r>
    </w:p>
    <w:p>
      <w:pPr>
        <w:pStyle w:val="ListBullet"/>
      </w:pPr>
      <w:r>
        <w:t>The synthetic implementation exercises twelve controls, not the full 360-control universe.</w:t>
      </w:r>
    </w:p>
    <w:p>
      <w:pPr>
        <w:pStyle w:val="ListBullet"/>
      </w:pPr>
      <w:r>
        <w:t>No statistically meaningful real-facility or multi-site validation has been completed.</w:t>
      </w:r>
    </w:p>
    <w:p>
      <w:pPr>
        <w:pStyle w:val="ListBullet"/>
      </w:pPr>
      <w:r>
        <w:t>Proposed gate profiles, maturity stages, claim patterns and economic measures require governance and calibration.</w:t>
      </w:r>
    </w:p>
    <w:p>
      <w:pPr>
        <w:pStyle w:val="ListBullet"/>
      </w:pPr>
      <w:r>
        <w:t>Machine conformance does not prove factual truth, engineering adequacy, safety or operating effectiveness.</w:t>
      </w:r>
    </w:p>
    <w:p>
      <w:pPr>
        <w:pStyle w:val="ListBullet"/>
      </w:pPr>
      <w:r>
        <w:t>The framework does not authorise switching, intrusion, failover, discharge, thermal stress or destructive testing.</w:t>
      </w:r>
    </w:p>
    <w:p>
      <w:pPr>
        <w:pStyle w:val="ListBullet"/>
      </w:pPr>
      <w:r>
        <w:t>Applicable law, engineering codes, safety rules, contractual duties and professional standards remain authoritative.</w:t>
      </w:r>
    </w:p>
    <w:p>
      <w:r/>
    </w:p>
    <w:p>
      <w:pPr>
        <w:pStyle w:val="Heading1"/>
      </w:pPr>
      <w:r>
        <w:t>29. Conclusion</w:t>
      </w:r>
    </w:p>
    <w:p>
      <w:r>
        <w:t>AIDCF proposes a capability-centred assurance architecture for AI data centres and AI infrastructure. Its contribution is the explicit trace from Service Outcome to architecture, dependency and fault domain; from credible failure to safeguard; from assertion to Evidence Object and assessment; and from critical gate to accountable, bounded decision.</w:t>
      </w:r>
    </w:p>
    <w:p>
      <w:r>
        <w:t>Version 3.0 corrects the narrative and governance weaknesses of the earlier expanded draft. It distinguishes approved baseline content from controlled-review drafts and proposed extensions, qualifies its novelty claim, documents a reproducible maintenance protocol, clarifies gate authority, provides a complete synthetic case and states threats to validity. It does not convert the framework into an established standard. The next source of credibility must be independent execution, multidisciplinary review and empirical pilot evidence.</w:t>
      </w:r>
    </w:p>
    <w:tbl>
      <w:tblPr>
        <w:tblW w:type="auto" w:w="0"/>
        <w:tblLook w:firstColumn="1" w:firstRow="1" w:lastColumn="0" w:lastRow="0" w:noHBand="0" w:noVBand="1" w:val="04A0"/>
      </w:tblPr>
      <w:tblGrid>
        <w:gridCol w:w="10166"/>
      </w:tblGrid>
      <w:tr>
        <w:tc>
          <w:tcPr>
            <w:tcW w:type="dxa" w:w="10166"/>
            <w:shd w:fill="DCE6F1"/>
          </w:tcPr>
          <w:p>
            <w:r>
              <w:rPr>
                <w:b/>
              </w:rPr>
              <w:t>Final proposition</w:t>
              <w:br/>
            </w:r>
            <w:r>
              <w:t>AIDCF should earn authority through transparent evidence, reproducible method and disciplined claim boundaries, consistent with the assurance doctrine it applies to AI infrastructure.</w:t>
            </w:r>
          </w:p>
        </w:tc>
      </w:tr>
    </w:tbl>
    <w:p/>
    <w:p>
      <w:r/>
    </w:p>
    <w:p>
      <w:pPr>
        <w:pStyle w:val="Heading1"/>
      </w:pPr>
      <w:r>
        <w:t>Appendix A. External-framework crosswalk</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17365D"/>
            <w:vAlign w:val="center"/>
          </w:tcPr>
          <w:p>
            <w:r>
              <w:rPr>
                <w:b/>
                <w:color w:val="FFFFFF"/>
                <w:sz w:val="15"/>
              </w:rPr>
              <w:t>Framework</w:t>
            </w:r>
          </w:p>
        </w:tc>
        <w:tc>
          <w:tcPr>
            <w:tcW w:type="dxa" w:w="2541"/>
            <w:shd w:fill="17365D"/>
            <w:vAlign w:val="center"/>
          </w:tcPr>
          <w:p>
            <w:r>
              <w:rPr>
                <w:b/>
                <w:color w:val="FFFFFF"/>
                <w:sz w:val="15"/>
              </w:rPr>
              <w:t>Published scope used here</w:t>
            </w:r>
          </w:p>
        </w:tc>
        <w:tc>
          <w:tcPr>
            <w:tcW w:type="dxa" w:w="2541"/>
            <w:shd w:fill="17365D"/>
            <w:vAlign w:val="center"/>
          </w:tcPr>
          <w:p>
            <w:r>
              <w:rPr>
                <w:b/>
                <w:color w:val="FFFFFF"/>
                <w:sz w:val="15"/>
              </w:rPr>
              <w:t>Typical AIDCF interface</w:t>
            </w:r>
          </w:p>
        </w:tc>
        <w:tc>
          <w:tcPr>
            <w:tcW w:type="dxa" w:w="2541"/>
            <w:shd w:fill="17365D"/>
            <w:vAlign w:val="center"/>
          </w:tcPr>
          <w:p>
            <w:r>
              <w:rPr>
                <w:b/>
                <w:color w:val="FFFFFF"/>
                <w:sz w:val="15"/>
              </w:rPr>
              <w:t>Reference</w:t>
            </w:r>
          </w:p>
        </w:tc>
      </w:tr>
      <w:tr>
        <w:tc>
          <w:tcPr>
            <w:tcW w:type="dxa" w:w="2541"/>
            <w:vAlign w:val="top"/>
          </w:tcPr>
          <w:p>
            <w:r>
              <w:rPr>
                <w:sz w:val="14"/>
              </w:rPr>
              <w:t>ISO/IEC 22237-1:2021</w:t>
            </w:r>
          </w:p>
        </w:tc>
        <w:tc>
          <w:tcPr>
            <w:tcW w:type="dxa" w:w="2541"/>
            <w:vAlign w:val="top"/>
          </w:tcPr>
          <w:p>
            <w:r>
              <w:rPr>
                <w:sz w:val="14"/>
              </w:rPr>
              <w:t>General principles, common aspects, facilities/infrastructure classification and management references.</w:t>
            </w:r>
          </w:p>
        </w:tc>
        <w:tc>
          <w:tcPr>
            <w:tcW w:type="dxa" w:w="2541"/>
            <w:vAlign w:val="top"/>
          </w:tcPr>
          <w:p>
            <w:r>
              <w:rPr>
                <w:sz w:val="14"/>
              </w:rPr>
              <w:t>PHY, POW, THM, ENV, OPS and RES evidence.</w:t>
            </w:r>
          </w:p>
        </w:tc>
        <w:tc>
          <w:tcPr>
            <w:tcW w:type="dxa" w:w="2541"/>
            <w:vAlign w:val="top"/>
          </w:tcPr>
          <w:p>
            <w:r>
              <w:rPr>
                <w:sz w:val="14"/>
              </w:rPr>
              <w:t>[1]</w:t>
            </w:r>
          </w:p>
        </w:tc>
      </w:tr>
      <w:tr>
        <w:tc>
          <w:tcPr>
            <w:tcW w:type="dxa" w:w="2541"/>
            <w:vAlign w:val="top"/>
            <w:shd w:fill="F4F7FA"/>
          </w:tcPr>
          <w:p>
            <w:r>
              <w:rPr>
                <w:sz w:val="14"/>
              </w:rPr>
              <w:t>NIST AI RMF 1.0</w:t>
            </w:r>
          </w:p>
        </w:tc>
        <w:tc>
          <w:tcPr>
            <w:tcW w:type="dxa" w:w="2541"/>
            <w:vAlign w:val="top"/>
            <w:shd w:fill="F4F7FA"/>
          </w:tcPr>
          <w:p>
            <w:r>
              <w:rPr>
                <w:sz w:val="14"/>
              </w:rPr>
              <w:t>Voluntary AI risk management and trustworthiness; Govern, Map, Measure, Manage.</w:t>
            </w:r>
          </w:p>
        </w:tc>
        <w:tc>
          <w:tcPr>
            <w:tcW w:type="dxa" w:w="2541"/>
            <w:vAlign w:val="top"/>
            <w:shd w:fill="F4F7FA"/>
          </w:tcPr>
          <w:p>
            <w:r>
              <w:rPr>
                <w:sz w:val="14"/>
              </w:rPr>
              <w:t>GOV, CAP, SEC and EVA linkage.</w:t>
            </w:r>
          </w:p>
        </w:tc>
        <w:tc>
          <w:tcPr>
            <w:tcW w:type="dxa" w:w="2541"/>
            <w:vAlign w:val="top"/>
            <w:shd w:fill="F4F7FA"/>
          </w:tcPr>
          <w:p>
            <w:r>
              <w:rPr>
                <w:sz w:val="14"/>
              </w:rPr>
              <w:t>[2][3]</w:t>
            </w:r>
          </w:p>
        </w:tc>
      </w:tr>
      <w:tr>
        <w:tc>
          <w:tcPr>
            <w:tcW w:type="dxa" w:w="2541"/>
            <w:vAlign w:val="top"/>
          </w:tcPr>
          <w:p>
            <w:r>
              <w:rPr>
                <w:sz w:val="14"/>
              </w:rPr>
              <w:t>Uptime Tier Standard: Topology</w:t>
            </w:r>
          </w:p>
        </w:tc>
        <w:tc>
          <w:tcPr>
            <w:tcW w:type="dxa" w:w="2541"/>
            <w:vAlign w:val="top"/>
          </w:tcPr>
          <w:p>
            <w:r>
              <w:rPr>
                <w:sz w:val="14"/>
              </w:rPr>
              <w:t>Site-infrastructure topology, capacity components, distribution paths and performance confirmation.</w:t>
            </w:r>
          </w:p>
        </w:tc>
        <w:tc>
          <w:tcPr>
            <w:tcW w:type="dxa" w:w="2541"/>
            <w:vAlign w:val="top"/>
          </w:tcPr>
          <w:p>
            <w:r>
              <w:rPr>
                <w:sz w:val="14"/>
              </w:rPr>
              <w:t>POW, THM, PHY and OPS design evidence.</w:t>
            </w:r>
          </w:p>
        </w:tc>
        <w:tc>
          <w:tcPr>
            <w:tcW w:type="dxa" w:w="2541"/>
            <w:vAlign w:val="top"/>
          </w:tcPr>
          <w:p>
            <w:r>
              <w:rPr>
                <w:sz w:val="14"/>
              </w:rPr>
              <w:t>[4]</w:t>
            </w:r>
          </w:p>
        </w:tc>
      </w:tr>
      <w:tr>
        <w:tc>
          <w:tcPr>
            <w:tcW w:type="dxa" w:w="2541"/>
            <w:vAlign w:val="top"/>
            <w:shd w:fill="F4F7FA"/>
          </w:tcPr>
          <w:p>
            <w:r>
              <w:rPr>
                <w:sz w:val="14"/>
              </w:rPr>
              <w:t>ANSI/TIA-942-C</w:t>
            </w:r>
          </w:p>
        </w:tc>
        <w:tc>
          <w:tcPr>
            <w:tcW w:type="dxa" w:w="2541"/>
            <w:vAlign w:val="top"/>
            <w:shd w:fill="F4F7FA"/>
          </w:tcPr>
          <w:p>
            <w:r>
              <w:rPr>
                <w:sz w:val="14"/>
              </w:rPr>
              <w:t>Data-centre infrastructure requirements including telecommunications, power, cooling, architecture, fire protection, safety and physical security.</w:t>
            </w:r>
          </w:p>
        </w:tc>
        <w:tc>
          <w:tcPr>
            <w:tcW w:type="dxa" w:w="2541"/>
            <w:vAlign w:val="top"/>
            <w:shd w:fill="F4F7FA"/>
          </w:tcPr>
          <w:p>
            <w:r>
              <w:rPr>
                <w:sz w:val="14"/>
              </w:rPr>
              <w:t>PHY, POW, THM and NET evidence.</w:t>
            </w:r>
          </w:p>
        </w:tc>
        <w:tc>
          <w:tcPr>
            <w:tcW w:type="dxa" w:w="2541"/>
            <w:vAlign w:val="top"/>
            <w:shd w:fill="F4F7FA"/>
          </w:tcPr>
          <w:p>
            <w:r>
              <w:rPr>
                <w:sz w:val="14"/>
              </w:rPr>
              <w:t>[5]</w:t>
            </w:r>
          </w:p>
        </w:tc>
      </w:tr>
      <w:tr>
        <w:tc>
          <w:tcPr>
            <w:tcW w:type="dxa" w:w="2541"/>
            <w:vAlign w:val="top"/>
          </w:tcPr>
          <w:p>
            <w:r>
              <w:rPr>
                <w:sz w:val="14"/>
              </w:rPr>
              <w:t>W3C PROV-O</w:t>
            </w:r>
          </w:p>
        </w:tc>
        <w:tc>
          <w:tcPr>
            <w:tcW w:type="dxa" w:w="2541"/>
            <w:vAlign w:val="top"/>
          </w:tcPr>
          <w:p>
            <w:r>
              <w:rPr>
                <w:sz w:val="14"/>
              </w:rPr>
              <w:t>Provenance representation.</w:t>
            </w:r>
          </w:p>
        </w:tc>
        <w:tc>
          <w:tcPr>
            <w:tcW w:type="dxa" w:w="2541"/>
            <w:vAlign w:val="top"/>
          </w:tcPr>
          <w:p>
            <w:r>
              <w:rPr>
                <w:sz w:val="14"/>
              </w:rPr>
              <w:t>Evidence lineage and transformation.</w:t>
            </w:r>
          </w:p>
        </w:tc>
        <w:tc>
          <w:tcPr>
            <w:tcW w:type="dxa" w:w="2541"/>
            <w:vAlign w:val="top"/>
          </w:tcPr>
          <w:p>
            <w:r>
              <w:rPr>
                <w:sz w:val="14"/>
              </w:rPr>
              <w:t>[6]</w:t>
            </w:r>
          </w:p>
        </w:tc>
      </w:tr>
    </w:tbl>
    <w:p/>
    <w:p>
      <w:r>
        <w:t>This crosswalk is directional and non-normative. It does not establish equivalence, coverage or conformity.</w:t>
      </w:r>
    </w:p>
    <w:p>
      <w:r/>
    </w:p>
    <w:p>
      <w:pPr>
        <w:pStyle w:val="Heading1"/>
      </w:pPr>
      <w:r>
        <w:t>Appendix B. Source and artifact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ID</w:t>
            </w:r>
          </w:p>
        </w:tc>
        <w:tc>
          <w:tcPr>
            <w:tcW w:type="dxa" w:w="3389"/>
            <w:shd w:fill="17365D"/>
            <w:vAlign w:val="center"/>
          </w:tcPr>
          <w:p>
            <w:r>
              <w:rPr>
                <w:b/>
                <w:color w:val="FFFFFF"/>
                <w:sz w:val="15"/>
              </w:rPr>
              <w:t>Artifact</w:t>
            </w:r>
          </w:p>
        </w:tc>
        <w:tc>
          <w:tcPr>
            <w:tcW w:type="dxa" w:w="3389"/>
            <w:shd w:fill="17365D"/>
            <w:vAlign w:val="center"/>
          </w:tcPr>
          <w:p>
            <w:r>
              <w:rPr>
                <w:b/>
                <w:color w:val="FFFFFF"/>
                <w:sz w:val="15"/>
              </w:rPr>
              <w:t>Status used in v2.0</w:t>
            </w:r>
          </w:p>
        </w:tc>
      </w:tr>
      <w:tr>
        <w:tc>
          <w:tcPr>
            <w:tcW w:type="dxa" w:w="3389"/>
            <w:vAlign w:val="top"/>
          </w:tcPr>
          <w:p>
            <w:r>
              <w:rPr>
                <w:sz w:val="14"/>
              </w:rPr>
              <w:t>AIDCF-005</w:t>
            </w:r>
          </w:p>
        </w:tc>
        <w:tc>
          <w:tcPr>
            <w:tcW w:type="dxa" w:w="3389"/>
            <w:vAlign w:val="top"/>
          </w:tcPr>
          <w:p>
            <w:r>
              <w:rPr>
                <w:sz w:val="14"/>
              </w:rPr>
              <w:t>AI Trust Graph Integration Standard v1.0</w:t>
            </w:r>
          </w:p>
        </w:tc>
        <w:tc>
          <w:tcPr>
            <w:tcW w:type="dxa" w:w="3389"/>
            <w:vAlign w:val="top"/>
          </w:tcPr>
          <w:p>
            <w:r>
              <w:rPr>
                <w:sz w:val="14"/>
              </w:rPr>
              <w:t>Controlled-review draft.</w:t>
            </w:r>
          </w:p>
        </w:tc>
      </w:tr>
      <w:tr>
        <w:tc>
          <w:tcPr>
            <w:tcW w:type="dxa" w:w="3389"/>
            <w:vAlign w:val="top"/>
            <w:shd w:fill="F4F7FA"/>
          </w:tcPr>
          <w:p>
            <w:r>
              <w:rPr>
                <w:sz w:val="14"/>
              </w:rPr>
              <w:t>AIDCF-007A</w:t>
            </w:r>
          </w:p>
        </w:tc>
        <w:tc>
          <w:tcPr>
            <w:tcW w:type="dxa" w:w="3389"/>
            <w:vAlign w:val="top"/>
            <w:shd w:fill="F4F7FA"/>
          </w:tcPr>
          <w:p>
            <w:r>
              <w:rPr>
                <w:sz w:val="14"/>
              </w:rPr>
              <w:t>Constitutional Amendment and Canonical Registry v1.0</w:t>
            </w:r>
          </w:p>
        </w:tc>
        <w:tc>
          <w:tcPr>
            <w:tcW w:type="dxa" w:w="3389"/>
            <w:vAlign w:val="top"/>
            <w:shd w:fill="F4F7FA"/>
          </w:tcPr>
          <w:p>
            <w:r>
              <w:rPr>
                <w:sz w:val="14"/>
              </w:rPr>
              <w:t>Approved identity/cardinality baseline.</w:t>
            </w:r>
          </w:p>
        </w:tc>
      </w:tr>
      <w:tr>
        <w:tc>
          <w:tcPr>
            <w:tcW w:type="dxa" w:w="3389"/>
            <w:vAlign w:val="top"/>
          </w:tcPr>
          <w:p>
            <w:r>
              <w:rPr>
                <w:sz w:val="14"/>
              </w:rPr>
              <w:t>AIDCF-009</w:t>
            </w:r>
          </w:p>
        </w:tc>
        <w:tc>
          <w:tcPr>
            <w:tcW w:type="dxa" w:w="3389"/>
            <w:vAlign w:val="top"/>
          </w:tcPr>
          <w:p>
            <w:r>
              <w:rPr>
                <w:sz w:val="14"/>
              </w:rPr>
              <w:t>Enhanced Practitioner Handbook v1.1</w:t>
            </w:r>
          </w:p>
        </w:tc>
        <w:tc>
          <w:tcPr>
            <w:tcW w:type="dxa" w:w="3389"/>
            <w:vAlign w:val="top"/>
          </w:tcPr>
          <w:p>
            <w:r>
              <w:rPr>
                <w:sz w:val="14"/>
              </w:rPr>
              <w:t>Controlled-review draft.</w:t>
            </w:r>
          </w:p>
        </w:tc>
      </w:tr>
      <w:tr>
        <w:tc>
          <w:tcPr>
            <w:tcW w:type="dxa" w:w="3389"/>
            <w:vAlign w:val="top"/>
            <w:shd w:fill="F4F7FA"/>
          </w:tcPr>
          <w:p>
            <w:r>
              <w:rPr>
                <w:sz w:val="14"/>
              </w:rPr>
              <w:t>AIDCF-012</w:t>
            </w:r>
          </w:p>
        </w:tc>
        <w:tc>
          <w:tcPr>
            <w:tcW w:type="dxa" w:w="3389"/>
            <w:vAlign w:val="top"/>
            <w:shd w:fill="F4F7FA"/>
          </w:tcPr>
          <w:p>
            <w:r>
              <w:rPr>
                <w:sz w:val="14"/>
              </w:rPr>
              <w:t>Reporting and Assurance Statement Standard v1.0</w:t>
            </w:r>
          </w:p>
        </w:tc>
        <w:tc>
          <w:tcPr>
            <w:tcW w:type="dxa" w:w="3389"/>
            <w:vAlign w:val="top"/>
            <w:shd w:fill="F4F7FA"/>
          </w:tcPr>
          <w:p>
            <w:r>
              <w:rPr>
                <w:sz w:val="14"/>
              </w:rPr>
              <w:t>Controlled-review draft.</w:t>
            </w:r>
          </w:p>
        </w:tc>
      </w:tr>
      <w:tr>
        <w:tc>
          <w:tcPr>
            <w:tcW w:type="dxa" w:w="3389"/>
            <w:vAlign w:val="top"/>
          </w:tcPr>
          <w:p>
            <w:r>
              <w:rPr>
                <w:sz w:val="14"/>
              </w:rPr>
              <w:t>AIDCF-013</w:t>
            </w:r>
          </w:p>
        </w:tc>
        <w:tc>
          <w:tcPr>
            <w:tcW w:type="dxa" w:w="3389"/>
            <w:vAlign w:val="top"/>
          </w:tcPr>
          <w:p>
            <w:r>
              <w:rPr>
                <w:sz w:val="14"/>
              </w:rPr>
              <w:t>AI Data Centre Assurance Reference Architecture v1.0</w:t>
            </w:r>
          </w:p>
        </w:tc>
        <w:tc>
          <w:tcPr>
            <w:tcW w:type="dxa" w:w="3389"/>
            <w:vAlign w:val="top"/>
          </w:tcPr>
          <w:p>
            <w:r>
              <w:rPr>
                <w:sz w:val="14"/>
              </w:rPr>
              <w:t>Controlled-review draft.</w:t>
            </w:r>
          </w:p>
        </w:tc>
      </w:tr>
      <w:tr>
        <w:tc>
          <w:tcPr>
            <w:tcW w:type="dxa" w:w="3389"/>
            <w:vAlign w:val="top"/>
            <w:shd w:fill="F4F7FA"/>
          </w:tcPr>
          <w:p>
            <w:r>
              <w:rPr>
                <w:sz w:val="14"/>
              </w:rPr>
              <w:t>AIDCF-014</w:t>
            </w:r>
          </w:p>
        </w:tc>
        <w:tc>
          <w:tcPr>
            <w:tcW w:type="dxa" w:w="3389"/>
            <w:vAlign w:val="top"/>
            <w:shd w:fill="F4F7FA"/>
          </w:tcPr>
          <w:p>
            <w:r>
              <w:rPr>
                <w:sz w:val="14"/>
              </w:rPr>
              <w:t>End-to-End Traceability and Machine-Executable Data Standard v1.0</w:t>
            </w:r>
          </w:p>
        </w:tc>
        <w:tc>
          <w:tcPr>
            <w:tcW w:type="dxa" w:w="3389"/>
            <w:vAlign w:val="top"/>
            <w:shd w:fill="F4F7FA"/>
          </w:tcPr>
          <w:p>
            <w:r>
              <w:rPr>
                <w:sz w:val="14"/>
              </w:rPr>
              <w:t>Controlled-review draft.</w:t>
            </w:r>
          </w:p>
        </w:tc>
      </w:tr>
      <w:tr>
        <w:tc>
          <w:tcPr>
            <w:tcW w:type="dxa" w:w="3389"/>
            <w:vAlign w:val="top"/>
          </w:tcPr>
          <w:p>
            <w:r>
              <w:rPr>
                <w:sz w:val="14"/>
              </w:rPr>
              <w:t>AIDCF-015 v1.2</w:t>
            </w:r>
          </w:p>
        </w:tc>
        <w:tc>
          <w:tcPr>
            <w:tcW w:type="dxa" w:w="3389"/>
            <w:vAlign w:val="top"/>
          </w:tcPr>
          <w:p>
            <w:r>
              <w:rPr>
                <w:sz w:val="14"/>
              </w:rPr>
              <w:t>Canonical Baseline Migration Package</w:t>
            </w:r>
          </w:p>
        </w:tc>
        <w:tc>
          <w:tcPr>
            <w:tcW w:type="dxa" w:w="3389"/>
            <w:vAlign w:val="top"/>
          </w:tcPr>
          <w:p>
            <w:r>
              <w:rPr>
                <w:sz w:val="14"/>
              </w:rPr>
              <w:t>Synthetic, non-production implementation; independent T7 pending.</w:t>
            </w:r>
          </w:p>
        </w:tc>
      </w:tr>
    </w:tbl>
    <w:p/>
    <w:p>
      <w:r/>
    </w:p>
    <w:p>
      <w:pPr>
        <w:pStyle w:val="Heading1"/>
      </w:pPr>
      <w:r>
        <w:t>Appendix C. Review and release checklist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Gate</w:t>
            </w:r>
          </w:p>
        </w:tc>
        <w:tc>
          <w:tcPr>
            <w:tcW w:type="dxa" w:w="3389"/>
            <w:shd w:fill="17365D"/>
            <w:vAlign w:val="center"/>
          </w:tcPr>
          <w:p>
            <w:r>
              <w:rPr>
                <w:b/>
                <w:color w:val="FFFFFF"/>
                <w:sz w:val="15"/>
              </w:rPr>
              <w:t>Release requirement</w:t>
            </w:r>
          </w:p>
        </w:tc>
        <w:tc>
          <w:tcPr>
            <w:tcW w:type="dxa" w:w="3389"/>
            <w:shd w:fill="17365D"/>
            <w:vAlign w:val="center"/>
          </w:tcPr>
          <w:p>
            <w:r>
              <w:rPr>
                <w:b/>
                <w:color w:val="FFFFFF"/>
                <w:sz w:val="15"/>
              </w:rPr>
              <w:t>v2.0 status</w:t>
            </w:r>
          </w:p>
        </w:tc>
      </w:tr>
      <w:tr>
        <w:tc>
          <w:tcPr>
            <w:tcW w:type="dxa" w:w="3389"/>
            <w:vAlign w:val="top"/>
          </w:tcPr>
          <w:p>
            <w:r>
              <w:rPr>
                <w:sz w:val="14"/>
              </w:rPr>
              <w:t>R1</w:t>
            </w:r>
          </w:p>
        </w:tc>
        <w:tc>
          <w:tcPr>
            <w:tcW w:type="dxa" w:w="3389"/>
            <w:vAlign w:val="top"/>
          </w:tcPr>
          <w:p>
            <w:r>
              <w:rPr>
                <w:sz w:val="14"/>
              </w:rPr>
              <w:t>Narrative follows research sequence and has one conclusion.</w:t>
            </w:r>
          </w:p>
        </w:tc>
        <w:tc>
          <w:tcPr>
            <w:tcW w:type="dxa" w:w="3389"/>
            <w:vAlign w:val="top"/>
          </w:tcPr>
          <w:p>
            <w:r>
              <w:rPr>
                <w:sz w:val="14"/>
              </w:rPr>
              <w:t>Complete.</w:t>
            </w:r>
          </w:p>
        </w:tc>
      </w:tr>
      <w:tr>
        <w:tc>
          <w:tcPr>
            <w:tcW w:type="dxa" w:w="3389"/>
            <w:vAlign w:val="top"/>
            <w:shd w:fill="F4F7FA"/>
          </w:tcPr>
          <w:p>
            <w:r>
              <w:rPr>
                <w:sz w:val="14"/>
              </w:rPr>
              <w:t>R2</w:t>
            </w:r>
          </w:p>
        </w:tc>
        <w:tc>
          <w:tcPr>
            <w:tcW w:type="dxa" w:w="3389"/>
            <w:vAlign w:val="top"/>
            <w:shd w:fill="F4F7FA"/>
          </w:tcPr>
          <w:p>
            <w:r>
              <w:rPr>
                <w:sz w:val="14"/>
              </w:rPr>
              <w:t>Novelty claim is qualified.</w:t>
            </w:r>
          </w:p>
        </w:tc>
        <w:tc>
          <w:tcPr>
            <w:tcW w:type="dxa" w:w="3389"/>
            <w:vAlign w:val="top"/>
            <w:shd w:fill="F4F7FA"/>
          </w:tcPr>
          <w:p>
            <w:r>
              <w:rPr>
                <w:sz w:val="14"/>
              </w:rPr>
              <w:t>Complete.</w:t>
            </w:r>
          </w:p>
        </w:tc>
      </w:tr>
      <w:tr>
        <w:tc>
          <w:tcPr>
            <w:tcW w:type="dxa" w:w="3389"/>
            <w:vAlign w:val="top"/>
          </w:tcPr>
          <w:p>
            <w:r>
              <w:rPr>
                <w:sz w:val="14"/>
              </w:rPr>
              <w:t>R3</w:t>
            </w:r>
          </w:p>
        </w:tc>
        <w:tc>
          <w:tcPr>
            <w:tcW w:type="dxa" w:w="3389"/>
            <w:vAlign w:val="top"/>
          </w:tcPr>
          <w:p>
            <w:r>
              <w:rPr>
                <w:sz w:val="14"/>
              </w:rPr>
              <w:t>Development protocol, source register and threats to validity are visible.</w:t>
            </w:r>
          </w:p>
        </w:tc>
        <w:tc>
          <w:tcPr>
            <w:tcW w:type="dxa" w:w="3389"/>
            <w:vAlign w:val="top"/>
          </w:tcPr>
          <w:p>
            <w:r>
              <w:rPr>
                <w:sz w:val="14"/>
              </w:rPr>
              <w:t>Protocol complete; detailed extraction register pending.</w:t>
            </w:r>
          </w:p>
        </w:tc>
      </w:tr>
      <w:tr>
        <w:tc>
          <w:tcPr>
            <w:tcW w:type="dxa" w:w="3389"/>
            <w:vAlign w:val="top"/>
            <w:shd w:fill="F4F7FA"/>
          </w:tcPr>
          <w:p>
            <w:r>
              <w:rPr>
                <w:sz w:val="14"/>
              </w:rPr>
              <w:t>R4</w:t>
            </w:r>
          </w:p>
        </w:tc>
        <w:tc>
          <w:tcPr>
            <w:tcW w:type="dxa" w:w="3389"/>
            <w:vAlign w:val="top"/>
            <w:shd w:fill="F4F7FA"/>
          </w:tcPr>
          <w:p>
            <w:r>
              <w:rPr>
                <w:sz w:val="14"/>
              </w:rPr>
              <w:t>Gate authority distinguishes canonical and explanatory content.</w:t>
            </w:r>
          </w:p>
        </w:tc>
        <w:tc>
          <w:tcPr>
            <w:tcW w:type="dxa" w:w="3389"/>
            <w:vAlign w:val="top"/>
            <w:shd w:fill="F4F7FA"/>
          </w:tcPr>
          <w:p>
            <w:r>
              <w:rPr>
                <w:sz w:val="14"/>
              </w:rPr>
              <w:t>Complete.</w:t>
            </w:r>
          </w:p>
        </w:tc>
      </w:tr>
      <w:tr>
        <w:tc>
          <w:tcPr>
            <w:tcW w:type="dxa" w:w="3389"/>
            <w:vAlign w:val="top"/>
          </w:tcPr>
          <w:p>
            <w:r>
              <w:rPr>
                <w:sz w:val="14"/>
              </w:rPr>
              <w:t>R5</w:t>
            </w:r>
          </w:p>
        </w:tc>
        <w:tc>
          <w:tcPr>
            <w:tcW w:type="dxa" w:w="3389"/>
            <w:vAlign w:val="top"/>
          </w:tcPr>
          <w:p>
            <w:r>
              <w:rPr>
                <w:sz w:val="14"/>
              </w:rPr>
              <w:t>Complete synthetic case and claim boundaries included.</w:t>
            </w:r>
          </w:p>
        </w:tc>
        <w:tc>
          <w:tcPr>
            <w:tcW w:type="dxa" w:w="3389"/>
            <w:vAlign w:val="top"/>
          </w:tcPr>
          <w:p>
            <w:r>
              <w:rPr>
                <w:sz w:val="14"/>
              </w:rPr>
              <w:t>Complete.</w:t>
            </w:r>
          </w:p>
        </w:tc>
      </w:tr>
      <w:tr>
        <w:tc>
          <w:tcPr>
            <w:tcW w:type="dxa" w:w="3389"/>
            <w:vAlign w:val="top"/>
            <w:shd w:fill="F4F7FA"/>
          </w:tcPr>
          <w:p>
            <w:r>
              <w:rPr>
                <w:sz w:val="14"/>
              </w:rPr>
              <w:t>R6</w:t>
            </w:r>
          </w:p>
        </w:tc>
        <w:tc>
          <w:tcPr>
            <w:tcW w:type="dxa" w:w="3389"/>
            <w:vAlign w:val="top"/>
            <w:shd w:fill="F4F7FA"/>
          </w:tcPr>
          <w:p>
            <w:r>
              <w:rPr>
                <w:sz w:val="14"/>
              </w:rPr>
              <w:t>External claims have numbered citations and reference details.</w:t>
            </w:r>
          </w:p>
        </w:tc>
        <w:tc>
          <w:tcPr>
            <w:tcW w:type="dxa" w:w="3389"/>
            <w:vAlign w:val="top"/>
            <w:shd w:fill="F4F7FA"/>
          </w:tcPr>
          <w:p>
            <w:r>
              <w:rPr>
                <w:sz w:val="14"/>
              </w:rPr>
              <w:t>Complete for cited public scope statements.</w:t>
            </w:r>
          </w:p>
        </w:tc>
      </w:tr>
      <w:tr>
        <w:tc>
          <w:tcPr>
            <w:tcW w:type="dxa" w:w="3389"/>
            <w:vAlign w:val="top"/>
          </w:tcPr>
          <w:p>
            <w:r>
              <w:rPr>
                <w:sz w:val="14"/>
              </w:rPr>
              <w:t>R7</w:t>
            </w:r>
          </w:p>
        </w:tc>
        <w:tc>
          <w:tcPr>
            <w:tcW w:type="dxa" w:w="3389"/>
            <w:vAlign w:val="top"/>
          </w:tcPr>
          <w:p>
            <w:r>
              <w:rPr>
                <w:sz w:val="14"/>
              </w:rPr>
              <w:t>Independent multidisciplinary technical review completed.</w:t>
            </w:r>
          </w:p>
        </w:tc>
        <w:tc>
          <w:tcPr>
            <w:tcW w:type="dxa" w:w="3389"/>
            <w:vAlign w:val="top"/>
          </w:tcPr>
          <w:p>
            <w:r>
              <w:rPr>
                <w:sz w:val="14"/>
              </w:rPr>
              <w:t>Pending.</w:t>
            </w:r>
          </w:p>
        </w:tc>
      </w:tr>
      <w:tr>
        <w:tc>
          <w:tcPr>
            <w:tcW w:type="dxa" w:w="3389"/>
            <w:vAlign w:val="top"/>
            <w:shd w:fill="F4F7FA"/>
          </w:tcPr>
          <w:p>
            <w:r>
              <w:rPr>
                <w:sz w:val="14"/>
              </w:rPr>
              <w:t>R8</w:t>
            </w:r>
          </w:p>
        </w:tc>
        <w:tc>
          <w:tcPr>
            <w:tcW w:type="dxa" w:w="3389"/>
            <w:vAlign w:val="top"/>
            <w:shd w:fill="F4F7FA"/>
          </w:tcPr>
          <w:p>
            <w:r>
              <w:rPr>
                <w:sz w:val="14"/>
              </w:rPr>
              <w:t>Independent T7 and semantic runtime evidence complete.</w:t>
            </w:r>
          </w:p>
        </w:tc>
        <w:tc>
          <w:tcPr>
            <w:tcW w:type="dxa" w:w="3389"/>
            <w:vAlign w:val="top"/>
            <w:shd w:fill="F4F7FA"/>
          </w:tcPr>
          <w:p>
            <w:r>
              <w:rPr>
                <w:sz w:val="14"/>
              </w:rPr>
              <w:t>Pending.</w:t>
            </w:r>
          </w:p>
        </w:tc>
      </w:tr>
      <w:tr>
        <w:tc>
          <w:tcPr>
            <w:tcW w:type="dxa" w:w="3389"/>
            <w:vAlign w:val="top"/>
          </w:tcPr>
          <w:p>
            <w:r>
              <w:rPr>
                <w:sz w:val="14"/>
              </w:rPr>
              <w:t>R9</w:t>
            </w:r>
          </w:p>
        </w:tc>
        <w:tc>
          <w:tcPr>
            <w:tcW w:type="dxa" w:w="3389"/>
            <w:vAlign w:val="top"/>
          </w:tcPr>
          <w:p>
            <w:r>
              <w:rPr>
                <w:sz w:val="14"/>
              </w:rPr>
              <w:t>Real capability pilot and inter-rater study complete.</w:t>
            </w:r>
          </w:p>
        </w:tc>
        <w:tc>
          <w:tcPr>
            <w:tcW w:type="dxa" w:w="3389"/>
            <w:vAlign w:val="top"/>
          </w:tcPr>
          <w:p>
            <w:r>
              <w:rPr>
                <w:sz w:val="14"/>
              </w:rPr>
              <w:t>Pending.</w:t>
            </w:r>
          </w:p>
        </w:tc>
      </w:tr>
      <w:tr>
        <w:tc>
          <w:tcPr>
            <w:tcW w:type="dxa" w:w="3389"/>
            <w:vAlign w:val="top"/>
            <w:shd w:fill="F4F7FA"/>
          </w:tcPr>
          <w:p>
            <w:r>
              <w:rPr>
                <w:sz w:val="14"/>
              </w:rPr>
              <w:t>R10</w:t>
            </w:r>
          </w:p>
        </w:tc>
        <w:tc>
          <w:tcPr>
            <w:tcW w:type="dxa" w:w="3389"/>
            <w:vAlign w:val="top"/>
            <w:shd w:fill="F4F7FA"/>
          </w:tcPr>
          <w:p>
            <w:r>
              <w:rPr>
                <w:sz w:val="14"/>
              </w:rPr>
              <w:t>Licence, DOI and public repository metadata approved.</w:t>
            </w:r>
          </w:p>
        </w:tc>
        <w:tc>
          <w:tcPr>
            <w:tcW w:type="dxa" w:w="3389"/>
            <w:vAlign w:val="top"/>
            <w:shd w:fill="F4F7FA"/>
          </w:tcPr>
          <w:p>
            <w:r>
              <w:rPr>
                <w:sz w:val="14"/>
              </w:rPr>
              <w:t>Pending publication decision.</w:t>
            </w:r>
          </w:p>
        </w:tc>
      </w:tr>
    </w:tbl>
    <w:p/>
    <w:p>
      <w:r/>
    </w:p>
    <w:p>
      <w:pPr>
        <w:pStyle w:val="Heading1"/>
      </w:pPr>
      <w:r>
        <w:t>Appendix D. Authorship, conflicts and contribution statement</w:t>
      </w:r>
    </w:p>
    <w:p>
      <w:r>
        <w:t>Author: Siva Sethumadhavan. Contributions: conceptualisation, methodology design, artifact architecture, control-framework design, writing, synthetic implementation direction and visualisation. Independent technical review has not yet been completed. No claim of external organisational endorsement is made in this document. Any employment affiliation should be added only after applicable review and authorisation.</w:t>
      </w:r>
    </w:p>
    <w:p>
      <w:r>
        <w:t>Conflict-of-interest statement: the author is the originator of AIDCF and therefore has an inherent interest in its adoption. This is mitigated through explicit limitations, open review, publication of negative tests, separation of baseline identity from substantive validation, and a roadmap for independent challenge.</w:t>
      </w:r>
    </w:p>
    <w:p>
      <w:r/>
    </w:p>
    <w:p>
      <w:pPr>
        <w:pStyle w:val="Heading1"/>
      </w:pPr>
      <w:r>
        <w:t>Appendix E. Version history and publication metadata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7365D"/>
            <w:vAlign w:val="center"/>
          </w:tcPr>
          <w:p>
            <w:r>
              <w:rPr>
                <w:b/>
                <w:color w:val="FFFFFF"/>
                <w:sz w:val="15"/>
              </w:rPr>
              <w:t>Version</w:t>
            </w:r>
          </w:p>
        </w:tc>
        <w:tc>
          <w:tcPr>
            <w:tcW w:type="dxa" w:w="3389"/>
            <w:shd w:fill="17365D"/>
            <w:vAlign w:val="center"/>
          </w:tcPr>
          <w:p>
            <w:r>
              <w:t>3.0</w:t>
            </w:r>
          </w:p>
        </w:tc>
        <w:tc>
          <w:tcPr>
            <w:tcW w:type="dxa" w:w="3389"/>
            <w:shd w:fill="17365D"/>
            <w:vAlign w:val="center"/>
          </w:tcPr>
          <w:p>
            <w:r>
              <w:rPr>
                <w:b/>
                <w:color w:val="FFFFFF"/>
                <w:sz w:val="15"/>
              </w:rPr>
              <w:t>Principal change</w:t>
            </w:r>
          </w:p>
        </w:tc>
      </w:tr>
      <w:tr>
        <w:tc>
          <w:tcPr>
            <w:tcW w:type="dxa" w:w="3389"/>
            <w:vAlign w:val="top"/>
          </w:tcPr>
          <w:p>
            <w:r>
              <w:rPr>
                <w:sz w:val="14"/>
              </w:rPr>
              <w:t>1.0</w:t>
            </w:r>
          </w:p>
        </w:tc>
        <w:tc>
          <w:tcPr>
            <w:tcW w:type="dxa" w:w="3389"/>
            <w:vAlign w:val="top"/>
          </w:tcPr>
          <w:p>
            <w:r>
              <w:rPr>
                <w:sz w:val="14"/>
              </w:rPr>
              <w:t>Internal draft</w:t>
            </w:r>
          </w:p>
        </w:tc>
        <w:tc>
          <w:tcPr>
            <w:tcW w:type="dxa" w:w="3389"/>
            <w:vAlign w:val="top"/>
          </w:tcPr>
          <w:p>
            <w:r>
              <w:rPr>
                <w:sz w:val="14"/>
              </w:rPr>
              <w:t>Initial consolidated whitepaper.</w:t>
            </w:r>
          </w:p>
        </w:tc>
      </w:tr>
      <w:tr>
        <w:tc>
          <w:tcPr>
            <w:tcW w:type="dxa" w:w="3389"/>
            <w:vAlign w:val="top"/>
            <w:shd w:fill="F4F7FA"/>
          </w:tcPr>
          <w:p>
            <w:r>
              <w:rPr>
                <w:sz w:val="14"/>
              </w:rPr>
              <w:t>1.1</w:t>
            </w:r>
          </w:p>
        </w:tc>
        <w:tc>
          <w:tcPr>
            <w:tcW w:type="dxa" w:w="3389"/>
            <w:vAlign w:val="top"/>
            <w:shd w:fill="F4F7FA"/>
          </w:tcPr>
          <w:p>
            <w:r>
              <w:rPr>
                <w:sz w:val="14"/>
              </w:rPr>
              <w:t>Expanded internal draft</w:t>
            </w:r>
          </w:p>
        </w:tc>
        <w:tc>
          <w:tcPr>
            <w:tcW w:type="dxa" w:w="3389"/>
            <w:vAlign w:val="top"/>
            <w:shd w:fill="F4F7FA"/>
          </w:tcPr>
          <w:p>
            <w:r>
              <w:rPr>
                <w:sz w:val="14"/>
              </w:rPr>
              <w:t>Added research, gate, maturity, economics, AITG and validation sections, but retained duplicated narrative.</w:t>
            </w:r>
          </w:p>
        </w:tc>
      </w:tr>
      <w:tr>
        <w:tc>
          <w:tcPr>
            <w:tcW w:type="dxa" w:w="3389"/>
            <w:vAlign w:val="top"/>
          </w:tcPr>
          <w:p>
            <w:r>
              <w:rPr>
                <w:sz w:val="14"/>
              </w:rPr>
              <w:t>2.0</w:t>
            </w:r>
          </w:p>
        </w:tc>
        <w:tc>
          <w:tcPr>
            <w:tcW w:type="dxa" w:w="3389"/>
            <w:vAlign w:val="top"/>
          </w:tcPr>
          <w:p>
            <w:r>
              <w:rPr>
                <w:sz w:val="14"/>
              </w:rPr>
              <w:t>Public Review Draft</w:t>
            </w:r>
          </w:p>
        </w:tc>
        <w:tc>
          <w:tcPr>
            <w:tcW w:type="dxa" w:w="3389"/>
            <w:vAlign w:val="top"/>
          </w:tcPr>
          <w:p>
            <w:r>
              <w:rPr>
                <w:sz w:val="14"/>
              </w:rPr>
              <w:t>Rebuilt narrative, qualified novelty, added protocol, status taxonomy, worked case, threats to validity, citations and release gates.</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7365D"/>
            <w:vAlign w:val="center"/>
          </w:tcPr>
          <w:p>
            <w:r>
              <w:rPr>
                <w:b/>
                <w:color w:val="FFFFFF"/>
                <w:sz w:val="15"/>
              </w:rPr>
              <w:t>Metadata field</w:t>
            </w:r>
          </w:p>
        </w:tc>
        <w:tc>
          <w:tcPr>
            <w:tcW w:type="dxa" w:w="5083"/>
            <w:shd w:fill="17365D"/>
            <w:vAlign w:val="center"/>
          </w:tcPr>
          <w:p>
            <w:r>
              <w:rPr>
                <w:b/>
                <w:color w:val="FFFFFF"/>
                <w:sz w:val="15"/>
              </w:rPr>
              <w:t>Value</w:t>
            </w:r>
          </w:p>
        </w:tc>
      </w:tr>
      <w:tr>
        <w:tc>
          <w:tcPr>
            <w:tcW w:type="dxa" w:w="5083"/>
            <w:vAlign w:val="top"/>
          </w:tcPr>
          <w:p>
            <w:r>
              <w:rPr>
                <w:sz w:val="14"/>
              </w:rPr>
              <w:t>Resource type</w:t>
            </w:r>
          </w:p>
        </w:tc>
        <w:tc>
          <w:tcPr>
            <w:tcW w:type="dxa" w:w="5083"/>
            <w:vAlign w:val="top"/>
          </w:tcPr>
          <w:p>
            <w:r>
              <w:rPr>
                <w:sz w:val="14"/>
              </w:rPr>
              <w:t>Technical report / preprint</w:t>
            </w:r>
          </w:p>
        </w:tc>
      </w:tr>
      <w:tr>
        <w:tc>
          <w:tcPr>
            <w:tcW w:type="dxa" w:w="5083"/>
            <w:vAlign w:val="top"/>
            <w:shd w:fill="F4F7FA"/>
          </w:tcPr>
          <w:p>
            <w:r>
              <w:rPr>
                <w:sz w:val="14"/>
              </w:rPr>
              <w:t>Title</w:t>
            </w:r>
          </w:p>
        </w:tc>
        <w:tc>
          <w:tcPr>
            <w:tcW w:type="dxa" w:w="5083"/>
            <w:vAlign w:val="top"/>
            <w:shd w:fill="F4F7FA"/>
          </w:tcPr>
          <w:p>
            <w:r>
              <w:rPr>
                <w:sz w:val="14"/>
              </w:rPr>
              <w:t>AIDCF: AI Data Centre Facilities Assurance Framework</w:t>
            </w:r>
          </w:p>
        </w:tc>
      </w:tr>
      <w:tr>
        <w:tc>
          <w:tcPr>
            <w:tcW w:type="dxa" w:w="5083"/>
            <w:vAlign w:val="top"/>
          </w:tcPr>
          <w:p>
            <w:r>
              <w:rPr>
                <w:sz w:val="14"/>
              </w:rPr>
              <w:t>Version</w:t>
            </w:r>
          </w:p>
        </w:tc>
        <w:tc>
          <w:tcPr>
            <w:tcW w:type="dxa" w:w="5083"/>
            <w:vAlign w:val="top"/>
          </w:tcPr>
          <w:p>
            <w:r>
              <w:t>3.0</w:t>
            </w:r>
          </w:p>
        </w:tc>
      </w:tr>
      <w:tr>
        <w:tc>
          <w:tcPr>
            <w:tcW w:type="dxa" w:w="5083"/>
            <w:vAlign w:val="top"/>
            <w:shd w:fill="F4F7FA"/>
          </w:tcPr>
          <w:p>
            <w:r>
              <w:rPr>
                <w:sz w:val="14"/>
              </w:rPr>
              <w:t>Creator</w:t>
            </w:r>
          </w:p>
        </w:tc>
        <w:tc>
          <w:tcPr>
            <w:tcW w:type="dxa" w:w="5083"/>
            <w:vAlign w:val="top"/>
            <w:shd w:fill="F4F7FA"/>
          </w:tcPr>
          <w:p>
            <w:r>
              <w:rPr>
                <w:sz w:val="14"/>
              </w:rPr>
              <w:t>Siva Sethumadhavan</w:t>
            </w:r>
          </w:p>
        </w:tc>
      </w:tr>
      <w:tr>
        <w:tc>
          <w:tcPr>
            <w:tcW w:type="dxa" w:w="5083"/>
            <w:vAlign w:val="top"/>
          </w:tcPr>
          <w:p>
            <w:r>
              <w:rPr>
                <w:sz w:val="14"/>
              </w:rPr>
              <w:t>Licence</w:t>
            </w:r>
          </w:p>
        </w:tc>
        <w:tc>
          <w:tcPr>
            <w:tcW w:type="dxa" w:w="5083"/>
            <w:vAlign w:val="top"/>
          </w:tcPr>
          <w:p>
            <w:r>
              <w:rPr>
                <w:sz w:val="14"/>
              </w:rPr>
              <w:t>To be selected before public deposit</w:t>
            </w:r>
          </w:p>
        </w:tc>
      </w:tr>
      <w:tr>
        <w:tc>
          <w:tcPr>
            <w:tcW w:type="dxa" w:w="5083"/>
            <w:vAlign w:val="top"/>
            <w:shd w:fill="F4F7FA"/>
          </w:tcPr>
          <w:p>
            <w:r>
              <w:rPr>
                <w:sz w:val="14"/>
              </w:rPr>
              <w:t>DOI</w:t>
            </w:r>
          </w:p>
        </w:tc>
        <w:tc>
          <w:tcPr>
            <w:tcW w:type="dxa" w:w="5083"/>
            <w:vAlign w:val="top"/>
            <w:shd w:fill="F4F7FA"/>
          </w:tcPr>
          <w:p>
            <w:r>
              <w:rPr>
                <w:sz w:val="14"/>
              </w:rPr>
              <w:t>To be reserved before final PDF if displayed in document</w:t>
            </w:r>
          </w:p>
        </w:tc>
      </w:tr>
      <w:tr>
        <w:tc>
          <w:tcPr>
            <w:tcW w:type="dxa" w:w="5083"/>
            <w:vAlign w:val="top"/>
          </w:tcPr>
          <w:p>
            <w:r>
              <w:rPr>
                <w:sz w:val="14"/>
              </w:rPr>
              <w:t>Related outputs</w:t>
            </w:r>
          </w:p>
        </w:tc>
        <w:tc>
          <w:tcPr>
            <w:tcW w:type="dxa" w:w="5083"/>
            <w:vAlign w:val="top"/>
          </w:tcPr>
          <w:p>
            <w:r>
              <w:rPr>
                <w:sz w:val="14"/>
              </w:rPr>
              <w:t>Canonical registry dataset and synthetic implementation package</w:t>
            </w:r>
          </w:p>
        </w:tc>
      </w:tr>
      <w:tr>
        <w:tc>
          <w:tcPr>
            <w:tcW w:type="dxa" w:w="5083"/>
            <w:vAlign w:val="top"/>
            <w:shd w:fill="F4F7FA"/>
          </w:tcPr>
          <w:p>
            <w:r>
              <w:rPr>
                <w:sz w:val="14"/>
              </w:rPr>
              <w:t>Keywords</w:t>
            </w:r>
          </w:p>
        </w:tc>
        <w:tc>
          <w:tcPr>
            <w:tcW w:type="dxa" w:w="5083"/>
            <w:vAlign w:val="top"/>
            <w:shd w:fill="F4F7FA"/>
          </w:tcPr>
          <w:p>
            <w:r>
              <w:rPr>
                <w:sz w:val="14"/>
              </w:rPr>
              <w:t>AI data centre; AI factory; infrastructure assurance; accelerated compute; liquid cooling; evidence; resilience; knowledge graph; critical gates</w:t>
            </w:r>
          </w:p>
        </w:tc>
      </w:tr>
    </w:tbl>
    <w:p/>
    <w:p>
      <w:r/>
    </w:p>
    <w:p>
      <w:r>
        <w:br w:type="page"/>
      </w:r>
    </w:p>
    <w:p>
      <w:pPr>
        <w:pStyle w:val="Heading1"/>
      </w:pPr>
      <w:r>
        <w:t>30. v3.0 release posture and evidence boundary</w:t>
      </w:r>
    </w:p>
    <w:p>
      <w:r>
        <w:t>Version 3.0 is a validation candidate, not a final validated standard. It consolidates the technical, editorial and governance recommendations raised during the v1.1 and v2.0 adversarial reviews. It includes author dispositions, a candidate critical-gate approval package, a derivation-record structure, an independent-review protocol and an authorised-pilot package. It does not claim that independent reviewer acceptance, canonical gate ratification or a real authorised pilot has occurred where no signed evidence is available.</w:t>
      </w:r>
    </w:p>
    <w:tbl>
      <w:tblPr>
        <w:tblW w:type="auto" w:w="0"/>
        <w:tblLook w:firstColumn="1" w:firstRow="1" w:lastColumn="0" w:lastRow="0" w:noHBand="0" w:noVBand="1" w:val="04A0"/>
      </w:tblPr>
      <w:tblGrid>
        <w:gridCol w:w="8640"/>
      </w:tblGrid>
      <w:tr>
        <w:tc>
          <w:tcPr>
            <w:tcW w:type="dxa" w:w="8640"/>
            <w:shd w:fill="FFF2CC"/>
          </w:tcPr>
          <w:p>
            <w:r>
              <w:rPr>
                <w:b/>
              </w:rPr>
              <w:t>Non-fabrication boundary</w:t>
              <w:br/>
            </w:r>
            <w:r>
              <w:t>No reviewer name, approval signature, pilot sponsor, site, result or authorisation is asserted without a signed source record. The registers below distinguish author-resolved items from evidence still pending.</w:t>
            </w:r>
          </w:p>
        </w:tc>
      </w:tr>
    </w:tbl>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7365D"/>
          </w:tcPr>
          <w:p>
            <w:r>
              <w:rPr>
                <w:b/>
                <w:color w:val="FFFFFF"/>
                <w:sz w:val="15"/>
              </w:rPr>
              <w:t>Component</w:t>
            </w:r>
          </w:p>
        </w:tc>
        <w:tc>
          <w:tcPr>
            <w:tcW w:type="dxa" w:w="2880"/>
            <w:shd w:fill="17365D"/>
          </w:tcPr>
          <w:p>
            <w:r>
              <w:rPr>
                <w:b/>
                <w:color w:val="FFFFFF"/>
                <w:sz w:val="15"/>
              </w:rPr>
              <w:t>v3.0 state</w:t>
            </w:r>
          </w:p>
        </w:tc>
        <w:tc>
          <w:tcPr>
            <w:tcW w:type="dxa" w:w="2880"/>
            <w:shd w:fill="17365D"/>
          </w:tcPr>
          <w:p>
            <w:r>
              <w:rPr>
                <w:b/>
                <w:color w:val="FFFFFF"/>
                <w:sz w:val="15"/>
              </w:rPr>
              <w:t>Permitted interpretation</w:t>
            </w:r>
          </w:p>
        </w:tc>
      </w:tr>
      <w:tr>
        <w:tc>
          <w:tcPr>
            <w:tcW w:type="dxa" w:w="2880"/>
          </w:tcPr>
          <w:p>
            <w:r>
              <w:rPr>
                <w:sz w:val="14"/>
              </w:rPr>
              <w:t>Narrative and technical corrections</w:t>
            </w:r>
          </w:p>
        </w:tc>
        <w:tc>
          <w:tcPr>
            <w:tcW w:type="dxa" w:w="2880"/>
          </w:tcPr>
          <w:p>
            <w:r>
              <w:rPr>
                <w:sz w:val="14"/>
              </w:rPr>
              <w:t>Author-resolved</w:t>
            </w:r>
          </w:p>
        </w:tc>
        <w:tc>
          <w:tcPr>
            <w:tcW w:type="dxa" w:w="2880"/>
          </w:tcPr>
          <w:p>
            <w:r>
              <w:rPr>
                <w:sz w:val="14"/>
              </w:rPr>
              <w:t>Whitepaper text incorporates the identified corrections.</w:t>
            </w:r>
          </w:p>
        </w:tc>
      </w:tr>
      <w:tr>
        <w:tc>
          <w:tcPr>
            <w:tcW w:type="dxa" w:w="2880"/>
            <w:shd w:fill="F4F7FA"/>
          </w:tcPr>
          <w:p>
            <w:r>
              <w:rPr>
                <w:sz w:val="14"/>
              </w:rPr>
              <w:t>Reviewer dispositions</w:t>
            </w:r>
          </w:p>
        </w:tc>
        <w:tc>
          <w:tcPr>
            <w:tcW w:type="dxa" w:w="2880"/>
            <w:shd w:fill="F4F7FA"/>
          </w:tcPr>
          <w:p>
            <w:r>
              <w:rPr>
                <w:sz w:val="14"/>
              </w:rPr>
              <w:t>Author disposition recorded; independent acceptance pending</w:t>
            </w:r>
          </w:p>
        </w:tc>
        <w:tc>
          <w:tcPr>
            <w:tcW w:type="dxa" w:w="2880"/>
            <w:shd w:fill="F4F7FA"/>
          </w:tcPr>
          <w:p>
            <w:r>
              <w:rPr>
                <w:sz w:val="14"/>
              </w:rPr>
              <w:t>Issues have proposed resolutions, not third-party endorsement.</w:t>
            </w:r>
          </w:p>
        </w:tc>
      </w:tr>
      <w:tr>
        <w:tc>
          <w:tcPr>
            <w:tcW w:type="dxa" w:w="2880"/>
          </w:tcPr>
          <w:p>
            <w:r>
              <w:rPr>
                <w:sz w:val="14"/>
              </w:rPr>
              <w:t>Critical-gate registry</w:t>
            </w:r>
          </w:p>
        </w:tc>
        <w:tc>
          <w:tcPr>
            <w:tcW w:type="dxa" w:w="2880"/>
          </w:tcPr>
          <w:p>
            <w:r>
              <w:rPr>
                <w:sz w:val="14"/>
              </w:rPr>
              <w:t>Candidate canonical package</w:t>
            </w:r>
          </w:p>
        </w:tc>
        <w:tc>
          <w:tcPr>
            <w:tcW w:type="dxa" w:w="2880"/>
          </w:tcPr>
          <w:p>
            <w:r>
              <w:rPr>
                <w:sz w:val="14"/>
              </w:rPr>
              <w:t>Ready for governance review; not independently ratified.</w:t>
            </w:r>
          </w:p>
        </w:tc>
      </w:tr>
      <w:tr>
        <w:tc>
          <w:tcPr>
            <w:tcW w:type="dxa" w:w="2880"/>
            <w:shd w:fill="F4F7FA"/>
          </w:tcPr>
          <w:p>
            <w:r>
              <w:rPr>
                <w:sz w:val="14"/>
              </w:rPr>
              <w:t>Derivation records</w:t>
            </w:r>
          </w:p>
        </w:tc>
        <w:tc>
          <w:tcPr>
            <w:tcW w:type="dxa" w:w="2880"/>
            <w:shd w:fill="F4F7FA"/>
          </w:tcPr>
          <w:p>
            <w:r>
              <w:rPr>
                <w:sz w:val="14"/>
              </w:rPr>
              <w:t>Register structure and current evidence assembled</w:t>
            </w:r>
          </w:p>
        </w:tc>
        <w:tc>
          <w:tcPr>
            <w:tcW w:type="dxa" w:w="2880"/>
            <w:shd w:fill="F4F7FA"/>
          </w:tcPr>
          <w:p>
            <w:r>
              <w:rPr>
                <w:sz w:val="14"/>
              </w:rPr>
              <w:t>Partially populated; retrospective source coding remains incomplete.</w:t>
            </w:r>
          </w:p>
        </w:tc>
      </w:tr>
      <w:tr>
        <w:tc>
          <w:tcPr>
            <w:tcW w:type="dxa" w:w="2880"/>
          </w:tcPr>
          <w:p>
            <w:r>
              <w:rPr>
                <w:sz w:val="14"/>
              </w:rPr>
              <w:t>Pilot package</w:t>
            </w:r>
          </w:p>
        </w:tc>
        <w:tc>
          <w:tcPr>
            <w:tcW w:type="dxa" w:w="2880"/>
          </w:tcPr>
          <w:p>
            <w:r>
              <w:rPr>
                <w:sz w:val="14"/>
              </w:rPr>
              <w:t>Authorisation and execution templates complete</w:t>
            </w:r>
          </w:p>
        </w:tc>
        <w:tc>
          <w:tcPr>
            <w:tcW w:type="dxa" w:w="2880"/>
          </w:tcPr>
          <w:p>
            <w:r>
              <w:rPr>
                <w:sz w:val="14"/>
              </w:rPr>
              <w:t>No real authorised pilot claimed.</w:t>
            </w:r>
          </w:p>
        </w:tc>
      </w:tr>
      <w:tr>
        <w:tc>
          <w:tcPr>
            <w:tcW w:type="dxa" w:w="2880"/>
            <w:shd w:fill="F4F7FA"/>
          </w:tcPr>
          <w:p>
            <w:r>
              <w:rPr>
                <w:sz w:val="14"/>
              </w:rPr>
              <w:t>Synthetic implementation</w:t>
            </w:r>
          </w:p>
        </w:tc>
        <w:tc>
          <w:tcPr>
            <w:tcW w:type="dxa" w:w="2880"/>
            <w:shd w:fill="F4F7FA"/>
          </w:tcPr>
          <w:p>
            <w:r>
              <w:rPr>
                <w:sz w:val="14"/>
              </w:rPr>
              <w:t>Existing AIDCF-015 v1.2</w:t>
            </w:r>
          </w:p>
        </w:tc>
        <w:tc>
          <w:tcPr>
            <w:tcW w:type="dxa" w:w="2880"/>
            <w:shd w:fill="F4F7FA"/>
          </w:tcPr>
          <w:p>
            <w:r>
              <w:rPr>
                <w:sz w:val="14"/>
              </w:rPr>
              <w:t>Technical demonstration only, twelve controls and 3.3333% coverage.</w:t>
            </w:r>
          </w:p>
        </w:tc>
      </w:tr>
    </w:tbl>
    <w:p/>
    <w:p>
      <w:r>
        <w:br w:type="page"/>
      </w:r>
    </w:p>
    <w:p>
      <w:pPr>
        <w:pStyle w:val="Heading1"/>
      </w:pPr>
      <w:r>
        <w:t>31. Consolidated reviewer-disposition register</w:t>
      </w:r>
    </w:p>
    <w:p>
      <w:r>
        <w:t>The register records the substantive issues raised in adversarial reviews of v1.1 and v2.0. “Author-resolved” means the text or package was changed by the framework author. It does not mean an independent reviewer accepted the disposition.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728"/>
            <w:shd w:fill="17365D"/>
          </w:tcPr>
          <w:p>
            <w:r>
              <w:rPr>
                <w:b/>
                <w:color w:val="FFFFFF"/>
                <w:sz w:val="15"/>
              </w:rPr>
              <w:t>ID</w:t>
            </w:r>
          </w:p>
        </w:tc>
        <w:tc>
          <w:tcPr>
            <w:tcW w:type="dxa" w:w="1728"/>
            <w:shd w:fill="17365D"/>
          </w:tcPr>
          <w:p>
            <w:r>
              <w:rPr>
                <w:b/>
                <w:color w:val="FFFFFF"/>
                <w:sz w:val="15"/>
              </w:rPr>
              <w:t>Issue</w:t>
            </w:r>
          </w:p>
        </w:tc>
        <w:tc>
          <w:tcPr>
            <w:tcW w:type="dxa" w:w="1728"/>
            <w:shd w:fill="17365D"/>
          </w:tcPr>
          <w:p>
            <w:r>
              <w:rPr>
                <w:b/>
                <w:color w:val="FFFFFF"/>
                <w:sz w:val="15"/>
              </w:rPr>
              <w:t>Disposition</w:t>
            </w:r>
          </w:p>
        </w:tc>
        <w:tc>
          <w:tcPr>
            <w:tcW w:type="dxa" w:w="1728"/>
            <w:shd w:fill="17365D"/>
          </w:tcPr>
          <w:p>
            <w:r>
              <w:rPr>
                <w:b/>
                <w:color w:val="FFFFFF"/>
                <w:sz w:val="15"/>
              </w:rPr>
              <w:t>Status</w:t>
            </w:r>
          </w:p>
        </w:tc>
        <w:tc>
          <w:tcPr>
            <w:tcW w:type="dxa" w:w="1728"/>
            <w:shd w:fill="17365D"/>
          </w:tcPr>
          <w:p>
            <w:r>
              <w:rPr>
                <w:b/>
                <w:color w:val="FFFFFF"/>
                <w:sz w:val="15"/>
              </w:rPr>
              <w:t>Residual action</w:t>
            </w:r>
          </w:p>
        </w:tc>
      </w:tr>
      <w:tr>
        <w:tc>
          <w:tcPr>
            <w:tcW w:type="dxa" w:w="1728"/>
          </w:tcPr>
          <w:p>
            <w:r>
              <w:rPr>
                <w:sz w:val="14"/>
              </w:rPr>
              <w:t>RD-001</w:t>
            </w:r>
          </w:p>
        </w:tc>
        <w:tc>
          <w:tcPr>
            <w:tcW w:type="dxa" w:w="1728"/>
          </w:tcPr>
          <w:p>
            <w:r>
              <w:rPr>
                <w:sz w:val="14"/>
              </w:rPr>
              <w:t>Narrative duplicated and concluded too early</w:t>
            </w:r>
          </w:p>
        </w:tc>
        <w:tc>
          <w:tcPr>
            <w:tcW w:type="dxa" w:w="1728"/>
          </w:tcPr>
          <w:p>
            <w:r>
              <w:rPr>
                <w:sz w:val="14"/>
              </w:rPr>
              <w:t>Reordered into one research sequence with one conclusion.</w:t>
            </w:r>
          </w:p>
        </w:tc>
        <w:tc>
          <w:tcPr>
            <w:tcW w:type="dxa" w:w="1728"/>
          </w:tcPr>
          <w:p>
            <w:r>
              <w:rPr>
                <w:sz w:val="14"/>
              </w:rPr>
              <w:t>Author-resolved</w:t>
            </w:r>
          </w:p>
        </w:tc>
        <w:tc>
          <w:tcPr>
            <w:tcW w:type="dxa" w:w="1728"/>
          </w:tcPr>
          <w:p>
            <w:r>
              <w:rPr>
                <w:sz w:val="14"/>
              </w:rPr>
              <w:t>Independent editorial acceptance pending</w:t>
            </w:r>
          </w:p>
        </w:tc>
      </w:tr>
      <w:tr>
        <w:tc>
          <w:tcPr>
            <w:tcW w:type="dxa" w:w="1728"/>
            <w:shd w:fill="F4F7FA"/>
          </w:tcPr>
          <w:p>
            <w:r>
              <w:rPr>
                <w:sz w:val="14"/>
              </w:rPr>
              <w:t>RD-002</w:t>
            </w:r>
          </w:p>
        </w:tc>
        <w:tc>
          <w:tcPr>
            <w:tcW w:type="dxa" w:w="1728"/>
            <w:shd w:fill="F4F7FA"/>
          </w:tcPr>
          <w:p>
            <w:r>
              <w:rPr>
                <w:sz w:val="14"/>
              </w:rPr>
              <w:t>Novelty claim overbroad</w:t>
            </w:r>
          </w:p>
        </w:tc>
        <w:tc>
          <w:tcPr>
            <w:tcW w:type="dxa" w:w="1728"/>
            <w:shd w:fill="F4F7FA"/>
          </w:tcPr>
          <w:p>
            <w:r>
              <w:rPr>
                <w:sz w:val="14"/>
              </w:rPr>
              <w:t>Reframed as a perceived integration gap and testable proposition.</w:t>
            </w:r>
          </w:p>
        </w:tc>
        <w:tc>
          <w:tcPr>
            <w:tcW w:type="dxa" w:w="1728"/>
            <w:shd w:fill="F4F7FA"/>
          </w:tcPr>
          <w:p>
            <w:r>
              <w:rPr>
                <w:sz w:val="14"/>
              </w:rPr>
              <w:t>Author-resolved</w:t>
            </w:r>
          </w:p>
        </w:tc>
        <w:tc>
          <w:tcPr>
            <w:tcW w:type="dxa" w:w="1728"/>
            <w:shd w:fill="F4F7FA"/>
          </w:tcPr>
          <w:p>
            <w:r>
              <w:rPr>
                <w:sz w:val="14"/>
              </w:rPr>
              <w:t>Literature-review challenge pending</w:t>
            </w:r>
          </w:p>
        </w:tc>
      </w:tr>
      <w:tr>
        <w:tc>
          <w:tcPr>
            <w:tcW w:type="dxa" w:w="1728"/>
          </w:tcPr>
          <w:p>
            <w:r>
              <w:rPr>
                <w:sz w:val="14"/>
              </w:rPr>
              <w:t>RD-003</w:t>
            </w:r>
          </w:p>
        </w:tc>
        <w:tc>
          <w:tcPr>
            <w:tcW w:type="dxa" w:w="1728"/>
          </w:tcPr>
          <w:p>
            <w:r>
              <w:rPr>
                <w:sz w:val="14"/>
              </w:rPr>
              <w:t>Derivation not reproducible</w:t>
            </w:r>
          </w:p>
        </w:tc>
        <w:tc>
          <w:tcPr>
            <w:tcW w:type="dxa" w:w="1728"/>
          </w:tcPr>
          <w:p>
            <w:r>
              <w:rPr>
                <w:sz w:val="14"/>
              </w:rPr>
              <w:t>Added protocol, source register, extraction and decision-log requirements.</w:t>
            </w:r>
          </w:p>
        </w:tc>
        <w:tc>
          <w:tcPr>
            <w:tcW w:type="dxa" w:w="1728"/>
          </w:tcPr>
          <w:p>
            <w:r>
              <w:rPr>
                <w:sz w:val="14"/>
              </w:rPr>
              <w:t>Partially resolved</w:t>
            </w:r>
          </w:p>
        </w:tc>
        <w:tc>
          <w:tcPr>
            <w:tcW w:type="dxa" w:w="1728"/>
          </w:tcPr>
          <w:p>
            <w:r>
              <w:rPr>
                <w:sz w:val="14"/>
              </w:rPr>
              <w:t>Retrospective population pending</w:t>
            </w:r>
          </w:p>
        </w:tc>
      </w:tr>
      <w:tr>
        <w:tc>
          <w:tcPr>
            <w:tcW w:type="dxa" w:w="1728"/>
            <w:shd w:fill="F4F7FA"/>
          </w:tcPr>
          <w:p>
            <w:r>
              <w:rPr>
                <w:sz w:val="14"/>
              </w:rPr>
              <w:t>RD-004</w:t>
            </w:r>
          </w:p>
        </w:tc>
        <w:tc>
          <w:tcPr>
            <w:tcW w:type="dxa" w:w="1728"/>
            <w:shd w:fill="F4F7FA"/>
          </w:tcPr>
          <w:p>
            <w:r>
              <w:rPr>
                <w:sz w:val="14"/>
              </w:rPr>
              <w:t>15/90/360 symmetry not technically justified</w:t>
            </w:r>
          </w:p>
        </w:tc>
        <w:tc>
          <w:tcPr>
            <w:tcW w:type="dxa" w:w="1728"/>
            <w:shd w:fill="F4F7FA"/>
          </w:tcPr>
          <w:p>
            <w:r>
              <w:rPr>
                <w:sz w:val="14"/>
              </w:rPr>
              <w:t>Separated identity/cardinality design from empirical completeness.</w:t>
            </w:r>
          </w:p>
        </w:tc>
        <w:tc>
          <w:tcPr>
            <w:tcW w:type="dxa" w:w="1728"/>
            <w:shd w:fill="F4F7FA"/>
          </w:tcPr>
          <w:p>
            <w:r>
              <w:rPr>
                <w:sz w:val="14"/>
              </w:rPr>
              <w:t>Author-resolved</w:t>
            </w:r>
          </w:p>
        </w:tc>
        <w:tc>
          <w:tcPr>
            <w:tcW w:type="dxa" w:w="1728"/>
            <w:shd w:fill="F4F7FA"/>
          </w:tcPr>
          <w:p>
            <w:r>
              <w:rPr>
                <w:sz w:val="14"/>
              </w:rPr>
              <w:t>Domain SME challenge pending</w:t>
            </w:r>
          </w:p>
        </w:tc>
      </w:tr>
      <w:tr>
        <w:tc>
          <w:tcPr>
            <w:tcW w:type="dxa" w:w="1728"/>
          </w:tcPr>
          <w:p>
            <w:r>
              <w:rPr>
                <w:sz w:val="14"/>
              </w:rPr>
              <w:t>RD-005</w:t>
            </w:r>
          </w:p>
        </w:tc>
        <w:tc>
          <w:tcPr>
            <w:tcW w:type="dxa" w:w="1728"/>
          </w:tcPr>
          <w:p>
            <w:r>
              <w:rPr>
                <w:sz w:val="14"/>
              </w:rPr>
              <w:t>Gate profiles not canonical</w:t>
            </w:r>
          </w:p>
        </w:tc>
        <w:tc>
          <w:tcPr>
            <w:tcW w:type="dxa" w:w="1728"/>
          </w:tcPr>
          <w:p>
            <w:r>
              <w:rPr>
                <w:sz w:val="14"/>
              </w:rPr>
              <w:t>Created candidate gate-approval package and explicit provisional status.</w:t>
            </w:r>
          </w:p>
        </w:tc>
        <w:tc>
          <w:tcPr>
            <w:tcW w:type="dxa" w:w="1728"/>
          </w:tcPr>
          <w:p>
            <w:r>
              <w:rPr>
                <w:sz w:val="14"/>
              </w:rPr>
              <w:t>Partially resolved</w:t>
            </w:r>
          </w:p>
        </w:tc>
        <w:tc>
          <w:tcPr>
            <w:tcW w:type="dxa" w:w="1728"/>
          </w:tcPr>
          <w:p>
            <w:r>
              <w:rPr>
                <w:sz w:val="14"/>
              </w:rPr>
              <w:t>Governance ratification pending</w:t>
            </w:r>
          </w:p>
        </w:tc>
      </w:tr>
      <w:tr>
        <w:tc>
          <w:tcPr>
            <w:tcW w:type="dxa" w:w="1728"/>
            <w:shd w:fill="F4F7FA"/>
          </w:tcPr>
          <w:p>
            <w:r>
              <w:rPr>
                <w:sz w:val="14"/>
              </w:rPr>
              <w:t>RD-006</w:t>
            </w:r>
          </w:p>
        </w:tc>
        <w:tc>
          <w:tcPr>
            <w:tcW w:type="dxa" w:w="1728"/>
            <w:shd w:fill="F4F7FA"/>
          </w:tcPr>
          <w:p>
            <w:r>
              <w:rPr>
                <w:sz w:val="14"/>
              </w:rPr>
              <w:t>Scoring not reperformable from whitepaper</w:t>
            </w:r>
          </w:p>
        </w:tc>
        <w:tc>
          <w:tcPr>
            <w:tcW w:type="dxa" w:w="1728"/>
            <w:shd w:fill="F4F7FA"/>
          </w:tcPr>
          <w:p>
            <w:r>
              <w:rPr>
                <w:sz w:val="14"/>
              </w:rPr>
              <w:t>Added scoring specification and re-performance requirements.</w:t>
            </w:r>
          </w:p>
        </w:tc>
        <w:tc>
          <w:tcPr>
            <w:tcW w:type="dxa" w:w="1728"/>
            <w:shd w:fill="F4F7FA"/>
          </w:tcPr>
          <w:p>
            <w:r>
              <w:rPr>
                <w:sz w:val="14"/>
              </w:rPr>
              <w:t>Partially resolved</w:t>
            </w:r>
          </w:p>
        </w:tc>
        <w:tc>
          <w:tcPr>
            <w:tcW w:type="dxa" w:w="1728"/>
            <w:shd w:fill="F4F7FA"/>
          </w:tcPr>
          <w:p>
            <w:r>
              <w:rPr>
                <w:sz w:val="14"/>
              </w:rPr>
              <w:t>Canonical numeric example pending source extraction</w:t>
            </w:r>
          </w:p>
        </w:tc>
      </w:tr>
      <w:tr>
        <w:tc>
          <w:tcPr>
            <w:tcW w:type="dxa" w:w="1728"/>
          </w:tcPr>
          <w:p>
            <w:r>
              <w:rPr>
                <w:sz w:val="14"/>
              </w:rPr>
              <w:t>RD-007</w:t>
            </w:r>
          </w:p>
        </w:tc>
        <w:tc>
          <w:tcPr>
            <w:tcW w:type="dxa" w:w="1728"/>
          </w:tcPr>
          <w:p>
            <w:r>
              <w:rPr>
                <w:sz w:val="14"/>
              </w:rPr>
              <w:t>Architecture too conceptual</w:t>
            </w:r>
          </w:p>
        </w:tc>
        <w:tc>
          <w:tcPr>
            <w:tcW w:type="dxa" w:w="1728"/>
          </w:tcPr>
          <w:p>
            <w:r>
              <w:rPr>
                <w:sz w:val="14"/>
              </w:rPr>
              <w:t>Added system-of-systems, authority, evidence and failure viewpoints.</w:t>
            </w:r>
          </w:p>
        </w:tc>
        <w:tc>
          <w:tcPr>
            <w:tcW w:type="dxa" w:w="1728"/>
          </w:tcPr>
          <w:p>
            <w:r>
              <w:rPr>
                <w:sz w:val="14"/>
              </w:rPr>
              <w:t>Author-resolved</w:t>
            </w:r>
          </w:p>
        </w:tc>
        <w:tc>
          <w:tcPr>
            <w:tcW w:type="dxa" w:w="1728"/>
          </w:tcPr>
          <w:p>
            <w:r>
              <w:rPr>
                <w:sz w:val="14"/>
              </w:rPr>
              <w:t>Engineering review pending</w:t>
            </w:r>
          </w:p>
        </w:tc>
      </w:tr>
      <w:tr>
        <w:tc>
          <w:tcPr>
            <w:tcW w:type="dxa" w:w="1728"/>
            <w:shd w:fill="F4F7FA"/>
          </w:tcPr>
          <w:p>
            <w:r>
              <w:rPr>
                <w:sz w:val="14"/>
              </w:rPr>
              <w:t>RD-008</w:t>
            </w:r>
          </w:p>
        </w:tc>
        <w:tc>
          <w:tcPr>
            <w:tcW w:type="dxa" w:w="1728"/>
            <w:shd w:fill="F4F7FA"/>
          </w:tcPr>
          <w:p>
            <w:r>
              <w:rPr>
                <w:sz w:val="14"/>
              </w:rPr>
              <w:t>Related work too narrow</w:t>
            </w:r>
          </w:p>
        </w:tc>
        <w:tc>
          <w:tcPr>
            <w:tcW w:type="dxa" w:w="1728"/>
            <w:shd w:fill="F4F7FA"/>
          </w:tcPr>
          <w:p>
            <w:r>
              <w:rPr>
                <w:sz w:val="14"/>
              </w:rPr>
              <w:t>Expanded source families and comparison criteria.</w:t>
            </w:r>
          </w:p>
        </w:tc>
        <w:tc>
          <w:tcPr>
            <w:tcW w:type="dxa" w:w="1728"/>
            <w:shd w:fill="F4F7FA"/>
          </w:tcPr>
          <w:p>
            <w:r>
              <w:rPr>
                <w:sz w:val="14"/>
              </w:rPr>
              <w:t>Author-resolved</w:t>
            </w:r>
          </w:p>
        </w:tc>
        <w:tc>
          <w:tcPr>
            <w:tcW w:type="dxa" w:w="1728"/>
            <w:shd w:fill="F4F7FA"/>
          </w:tcPr>
          <w:p>
            <w:r>
              <w:rPr>
                <w:sz w:val="14"/>
              </w:rPr>
              <w:t>Systematic-search completeness pending</w:t>
            </w:r>
          </w:p>
        </w:tc>
      </w:tr>
      <w:tr>
        <w:tc>
          <w:tcPr>
            <w:tcW w:type="dxa" w:w="1728"/>
          </w:tcPr>
          <w:p>
            <w:r>
              <w:rPr>
                <w:sz w:val="14"/>
              </w:rPr>
              <w:t>RD-009</w:t>
            </w:r>
          </w:p>
        </w:tc>
        <w:tc>
          <w:tcPr>
            <w:tcW w:type="dxa" w:w="1728"/>
          </w:tcPr>
          <w:p>
            <w:r>
              <w:rPr>
                <w:sz w:val="14"/>
              </w:rPr>
              <w:t>Worked case insufficiently complete</w:t>
            </w:r>
          </w:p>
        </w:tc>
        <w:tc>
          <w:tcPr>
            <w:tcW w:type="dxa" w:w="1728"/>
          </w:tcPr>
          <w:p>
            <w:r>
              <w:rPr>
                <w:sz w:val="14"/>
              </w:rPr>
              <w:t>Added traceability, evidence, result, gate and decision record requirements.</w:t>
            </w:r>
          </w:p>
        </w:tc>
        <w:tc>
          <w:tcPr>
            <w:tcW w:type="dxa" w:w="1728"/>
          </w:tcPr>
          <w:p>
            <w:r>
              <w:rPr>
                <w:sz w:val="14"/>
              </w:rPr>
              <w:t>Partially resolved</w:t>
            </w:r>
          </w:p>
        </w:tc>
        <w:tc>
          <w:tcPr>
            <w:tcW w:type="dxa" w:w="1728"/>
          </w:tcPr>
          <w:p>
            <w:r>
              <w:rPr>
                <w:sz w:val="14"/>
              </w:rPr>
              <w:t>Canonical MCF mapping must come from executable package</w:t>
            </w:r>
          </w:p>
        </w:tc>
      </w:tr>
      <w:tr>
        <w:tc>
          <w:tcPr>
            <w:tcW w:type="dxa" w:w="1728"/>
            <w:shd w:fill="F4F7FA"/>
          </w:tcPr>
          <w:p>
            <w:r>
              <w:rPr>
                <w:sz w:val="14"/>
              </w:rPr>
              <w:t>RD-010</w:t>
            </w:r>
          </w:p>
        </w:tc>
        <w:tc>
          <w:tcPr>
            <w:tcW w:type="dxa" w:w="1728"/>
            <w:shd w:fill="F4F7FA"/>
          </w:tcPr>
          <w:p>
            <w:r>
              <w:rPr>
                <w:sz w:val="14"/>
              </w:rPr>
              <w:t>Maturity model could be misused</w:t>
            </w:r>
          </w:p>
        </w:tc>
        <w:tc>
          <w:tcPr>
            <w:tcW w:type="dxa" w:w="1728"/>
            <w:shd w:fill="F4F7FA"/>
          </w:tcPr>
          <w:p>
            <w:r>
              <w:rPr>
                <w:sz w:val="14"/>
              </w:rPr>
              <w:t>Renamed Level 5 and kept model as research extension.</w:t>
            </w:r>
          </w:p>
        </w:tc>
        <w:tc>
          <w:tcPr>
            <w:tcW w:type="dxa" w:w="1728"/>
            <w:shd w:fill="F4F7FA"/>
          </w:tcPr>
          <w:p>
            <w:r>
              <w:rPr>
                <w:sz w:val="14"/>
              </w:rPr>
              <w:t>Author-resolved</w:t>
            </w:r>
          </w:p>
        </w:tc>
        <w:tc>
          <w:tcPr>
            <w:tcW w:type="dxa" w:w="1728"/>
            <w:shd w:fill="F4F7FA"/>
          </w:tcPr>
          <w:p>
            <w:r>
              <w:rPr>
                <w:sz w:val="14"/>
              </w:rPr>
              <w:t>Pilot calibration pending</w:t>
            </w:r>
          </w:p>
        </w:tc>
      </w:tr>
      <w:tr>
        <w:tc>
          <w:tcPr>
            <w:tcW w:type="dxa" w:w="1728"/>
          </w:tcPr>
          <w:p>
            <w:r>
              <w:rPr>
                <w:sz w:val="14"/>
              </w:rPr>
              <w:t>RD-011</w:t>
            </w:r>
          </w:p>
        </w:tc>
        <w:tc>
          <w:tcPr>
            <w:tcW w:type="dxa" w:w="1728"/>
          </w:tcPr>
          <w:p>
            <w:r>
              <w:rPr>
                <w:sz w:val="14"/>
              </w:rPr>
              <w:t>Conformance labels may become badges</w:t>
            </w:r>
          </w:p>
        </w:tc>
        <w:tc>
          <w:tcPr>
            <w:tcW w:type="dxa" w:w="1728"/>
          </w:tcPr>
          <w:p>
            <w:r>
              <w:rPr>
                <w:sz w:val="14"/>
              </w:rPr>
              <w:t>Reframed as descriptive claim patterns with governance restrictions.</w:t>
            </w:r>
          </w:p>
        </w:tc>
        <w:tc>
          <w:tcPr>
            <w:tcW w:type="dxa" w:w="1728"/>
          </w:tcPr>
          <w:p>
            <w:r>
              <w:rPr>
                <w:sz w:val="14"/>
              </w:rPr>
              <w:t>Author-resolved</w:t>
            </w:r>
          </w:p>
        </w:tc>
        <w:tc>
          <w:tcPr>
            <w:tcW w:type="dxa" w:w="1728"/>
          </w:tcPr>
          <w:p>
            <w:r>
              <w:rPr>
                <w:sz w:val="14"/>
              </w:rPr>
              <w:t>Legal and mark-governance review pending</w:t>
            </w:r>
          </w:p>
        </w:tc>
      </w:tr>
      <w:tr>
        <w:tc>
          <w:tcPr>
            <w:tcW w:type="dxa" w:w="1728"/>
            <w:shd w:fill="F4F7FA"/>
          </w:tcPr>
          <w:p>
            <w:r>
              <w:rPr>
                <w:sz w:val="14"/>
              </w:rPr>
              <w:t>RD-012</w:t>
            </w:r>
          </w:p>
        </w:tc>
        <w:tc>
          <w:tcPr>
            <w:tcW w:type="dxa" w:w="1728"/>
            <w:shd w:fill="F4F7FA"/>
          </w:tcPr>
          <w:p>
            <w:r>
              <w:rPr>
                <w:sz w:val="14"/>
              </w:rPr>
              <w:t>Economic claims not evidenced</w:t>
            </w:r>
          </w:p>
        </w:tc>
        <w:tc>
          <w:tcPr>
            <w:tcW w:type="dxa" w:w="1728"/>
            <w:shd w:fill="F4F7FA"/>
          </w:tcPr>
          <w:p>
            <w:r>
              <w:rPr>
                <w:sz w:val="14"/>
              </w:rPr>
              <w:t>Converted to pilot measures and hypotheses.</w:t>
            </w:r>
          </w:p>
        </w:tc>
        <w:tc>
          <w:tcPr>
            <w:tcW w:type="dxa" w:w="1728"/>
            <w:shd w:fill="F4F7FA"/>
          </w:tcPr>
          <w:p>
            <w:r>
              <w:rPr>
                <w:sz w:val="14"/>
              </w:rPr>
              <w:t>Author-resolved</w:t>
            </w:r>
          </w:p>
        </w:tc>
        <w:tc>
          <w:tcPr>
            <w:tcW w:type="dxa" w:w="1728"/>
            <w:shd w:fill="F4F7FA"/>
          </w:tcPr>
          <w:p>
            <w:r>
              <w:rPr>
                <w:sz w:val="14"/>
              </w:rPr>
              <w:t>Empirical data pending</w:t>
            </w:r>
          </w:p>
        </w:tc>
      </w:tr>
      <w:tr>
        <w:tc>
          <w:tcPr>
            <w:tcW w:type="dxa" w:w="1728"/>
          </w:tcPr>
          <w:p>
            <w:r>
              <w:rPr>
                <w:sz w:val="14"/>
              </w:rPr>
              <w:t>RD-013</w:t>
            </w:r>
          </w:p>
        </w:tc>
        <w:tc>
          <w:tcPr>
            <w:tcW w:type="dxa" w:w="1728"/>
          </w:tcPr>
          <w:p>
            <w:r>
              <w:rPr>
                <w:sz w:val="14"/>
              </w:rPr>
              <w:t>Security disclosure governance weak</w:t>
            </w:r>
          </w:p>
        </w:tc>
        <w:tc>
          <w:tcPr>
            <w:tcW w:type="dxa" w:w="1728"/>
          </w:tcPr>
          <w:p>
            <w:r>
              <w:rPr>
                <w:sz w:val="14"/>
              </w:rPr>
              <w:t>Added information-classification and public-release rules.</w:t>
            </w:r>
          </w:p>
        </w:tc>
        <w:tc>
          <w:tcPr>
            <w:tcW w:type="dxa" w:w="1728"/>
          </w:tcPr>
          <w:p>
            <w:r>
              <w:rPr>
                <w:sz w:val="14"/>
              </w:rPr>
              <w:t>Author-resolved</w:t>
            </w:r>
          </w:p>
        </w:tc>
        <w:tc>
          <w:tcPr>
            <w:tcW w:type="dxa" w:w="1728"/>
          </w:tcPr>
          <w:p>
            <w:r>
              <w:rPr>
                <w:sz w:val="14"/>
              </w:rPr>
              <w:t>Security review pending</w:t>
            </w:r>
          </w:p>
        </w:tc>
      </w:tr>
      <w:tr>
        <w:tc>
          <w:tcPr>
            <w:tcW w:type="dxa" w:w="1728"/>
            <w:shd w:fill="F4F7FA"/>
          </w:tcPr>
          <w:p>
            <w:r>
              <w:rPr>
                <w:sz w:val="14"/>
              </w:rPr>
              <w:t>RD-014</w:t>
            </w:r>
          </w:p>
        </w:tc>
        <w:tc>
          <w:tcPr>
            <w:tcW w:type="dxa" w:w="1728"/>
            <w:shd w:fill="F4F7FA"/>
          </w:tcPr>
          <w:p>
            <w:r>
              <w:rPr>
                <w:sz w:val="14"/>
              </w:rPr>
              <w:t>Public review not operationalised</w:t>
            </w:r>
          </w:p>
        </w:tc>
        <w:tc>
          <w:tcPr>
            <w:tcW w:type="dxa" w:w="1728"/>
            <w:shd w:fill="F4F7FA"/>
          </w:tcPr>
          <w:p>
            <w:r>
              <w:rPr>
                <w:sz w:val="14"/>
              </w:rPr>
              <w:t>Added reviewer instructions, issue taxonomy and disposition workflow.</w:t>
            </w:r>
          </w:p>
        </w:tc>
        <w:tc>
          <w:tcPr>
            <w:tcW w:type="dxa" w:w="1728"/>
            <w:shd w:fill="F4F7FA"/>
          </w:tcPr>
          <w:p>
            <w:r>
              <w:rPr>
                <w:sz w:val="14"/>
              </w:rPr>
              <w:t>Author-resolved</w:t>
            </w:r>
          </w:p>
        </w:tc>
        <w:tc>
          <w:tcPr>
            <w:tcW w:type="dxa" w:w="1728"/>
            <w:shd w:fill="F4F7FA"/>
          </w:tcPr>
          <w:p>
            <w:r>
              <w:rPr>
                <w:sz w:val="14"/>
              </w:rPr>
              <w:t>Repository/contact metadata pending</w:t>
            </w:r>
          </w:p>
        </w:tc>
      </w:tr>
      <w:tr>
        <w:tc>
          <w:tcPr>
            <w:tcW w:type="dxa" w:w="1728"/>
          </w:tcPr>
          <w:p>
            <w:r>
              <w:rPr>
                <w:sz w:val="14"/>
              </w:rPr>
              <w:t>RD-015</w:t>
            </w:r>
          </w:p>
        </w:tc>
        <w:tc>
          <w:tcPr>
            <w:tcW w:type="dxa" w:w="1728"/>
          </w:tcPr>
          <w:p>
            <w:r>
              <w:rPr>
                <w:sz w:val="14"/>
              </w:rPr>
              <w:t>Independent review absent</w:t>
            </w:r>
          </w:p>
        </w:tc>
        <w:tc>
          <w:tcPr>
            <w:tcW w:type="dxa" w:w="1728"/>
          </w:tcPr>
          <w:p>
            <w:r>
              <w:rPr>
                <w:sz w:val="14"/>
              </w:rPr>
              <w:t>Added independent-review board charter and sign-off matrix.</w:t>
            </w:r>
          </w:p>
        </w:tc>
        <w:tc>
          <w:tcPr>
            <w:tcW w:type="dxa" w:w="1728"/>
          </w:tcPr>
          <w:p>
            <w:r>
              <w:rPr>
                <w:sz w:val="14"/>
              </w:rPr>
              <w:t>Open</w:t>
            </w:r>
          </w:p>
        </w:tc>
        <w:tc>
          <w:tcPr>
            <w:tcW w:type="dxa" w:w="1728"/>
          </w:tcPr>
          <w:p>
            <w:r>
              <w:rPr>
                <w:sz w:val="14"/>
              </w:rPr>
              <w:t>Named independent reviewers pending</w:t>
            </w:r>
          </w:p>
        </w:tc>
      </w:tr>
      <w:tr>
        <w:tc>
          <w:tcPr>
            <w:tcW w:type="dxa" w:w="1728"/>
            <w:shd w:fill="F4F7FA"/>
          </w:tcPr>
          <w:p>
            <w:r>
              <w:rPr>
                <w:sz w:val="14"/>
              </w:rPr>
              <w:t>RD-016</w:t>
            </w:r>
          </w:p>
        </w:tc>
        <w:tc>
          <w:tcPr>
            <w:tcW w:type="dxa" w:w="1728"/>
            <w:shd w:fill="F4F7FA"/>
          </w:tcPr>
          <w:p>
            <w:r>
              <w:rPr>
                <w:sz w:val="14"/>
              </w:rPr>
              <w:t>Real authorised pilot absent</w:t>
            </w:r>
          </w:p>
        </w:tc>
        <w:tc>
          <w:tcPr>
            <w:tcW w:type="dxa" w:w="1728"/>
            <w:shd w:fill="F4F7FA"/>
          </w:tcPr>
          <w:p>
            <w:r>
              <w:rPr>
                <w:sz w:val="14"/>
              </w:rPr>
              <w:t>Added pilot charter, authorisation gate and evidence pack.</w:t>
            </w:r>
          </w:p>
        </w:tc>
        <w:tc>
          <w:tcPr>
            <w:tcW w:type="dxa" w:w="1728"/>
            <w:shd w:fill="F4F7FA"/>
          </w:tcPr>
          <w:p>
            <w:r>
              <w:rPr>
                <w:sz w:val="14"/>
              </w:rPr>
              <w:t>Open</w:t>
            </w:r>
          </w:p>
        </w:tc>
        <w:tc>
          <w:tcPr>
            <w:tcW w:type="dxa" w:w="1728"/>
            <w:shd w:fill="F4F7FA"/>
          </w:tcPr>
          <w:p>
            <w:r>
              <w:rPr>
                <w:sz w:val="14"/>
              </w:rPr>
              <w:t>Sponsor and signed authorisation pending</w:t>
            </w:r>
          </w:p>
        </w:tc>
      </w:tr>
    </w:tbl>
    <w:p/>
    <w:p>
      <w:r>
        <w:br w:type="page"/>
      </w:r>
    </w:p>
    <w:p>
      <w:pPr>
        <w:pStyle w:val="Heading1"/>
      </w:pPr>
      <w:r>
        <w:t>32. Canonical critical-gate approval candidate</w:t>
      </w:r>
    </w:p>
    <w:p>
      <w:r>
        <w:t>This section defines the candidate governance record required to ratify CG-01 through CG-15. It is proposed for approval and must not be described as independently approved until the approval table is signed by the defined authorities.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Field</w:t>
            </w:r>
          </w:p>
        </w:tc>
        <w:tc>
          <w:tcPr>
            <w:tcW w:type="dxa" w:w="4320"/>
            <w:shd w:fill="17365D"/>
          </w:tcPr>
          <w:p>
            <w:r>
              <w:rPr>
                <w:b/>
                <w:color w:val="FFFFFF"/>
                <w:sz w:val="15"/>
              </w:rPr>
              <w:t>Candidate rule</w:t>
            </w:r>
          </w:p>
        </w:tc>
      </w:tr>
      <w:tr>
        <w:tc>
          <w:tcPr>
            <w:tcW w:type="dxa" w:w="4320"/>
          </w:tcPr>
          <w:p>
            <w:r>
              <w:rPr>
                <w:sz w:val="14"/>
              </w:rPr>
              <w:t>Owner</w:t>
            </w:r>
          </w:p>
        </w:tc>
        <w:tc>
          <w:tcPr>
            <w:tcW w:type="dxa" w:w="4320"/>
          </w:tcPr>
          <w:p>
            <w:r>
              <w:rPr>
                <w:sz w:val="14"/>
              </w:rPr>
              <w:t>AIDCF methodology owner.</w:t>
            </w:r>
          </w:p>
        </w:tc>
      </w:tr>
      <w:tr>
        <w:tc>
          <w:tcPr>
            <w:tcW w:type="dxa" w:w="4320"/>
            <w:shd w:fill="F4F7FA"/>
          </w:tcPr>
          <w:p>
            <w:r>
              <w:rPr>
                <w:sz w:val="14"/>
              </w:rPr>
              <w:t>Approvers</w:t>
            </w:r>
          </w:p>
        </w:tc>
        <w:tc>
          <w:tcPr>
            <w:tcW w:type="dxa" w:w="4320"/>
            <w:shd w:fill="F4F7FA"/>
          </w:tcPr>
          <w:p>
            <w:r>
              <w:rPr>
                <w:sz w:val="14"/>
              </w:rPr>
              <w:t>Methodology owner plus independent assurance reviewer and relevant domain specialists.</w:t>
            </w:r>
          </w:p>
        </w:tc>
      </w:tr>
      <w:tr>
        <w:tc>
          <w:tcPr>
            <w:tcW w:type="dxa" w:w="4320"/>
          </w:tcPr>
          <w:p>
            <w:r>
              <w:rPr>
                <w:sz w:val="14"/>
              </w:rPr>
              <w:t>Approval unit</w:t>
            </w:r>
          </w:p>
        </w:tc>
        <w:tc>
          <w:tcPr>
            <w:tcW w:type="dxa" w:w="4320"/>
          </w:tcPr>
          <w:p>
            <w:r>
              <w:rPr>
                <w:sz w:val="14"/>
              </w:rPr>
              <w:t>Gate identity, name, purpose, applicability, evidence floor, state criteria, decision effect and reassessment trigger.</w:t>
            </w:r>
          </w:p>
        </w:tc>
      </w:tr>
      <w:tr>
        <w:tc>
          <w:tcPr>
            <w:tcW w:type="dxa" w:w="4320"/>
            <w:shd w:fill="F4F7FA"/>
          </w:tcPr>
          <w:p>
            <w:r>
              <w:rPr>
                <w:sz w:val="14"/>
              </w:rPr>
              <w:t>Allowed states</w:t>
            </w:r>
          </w:p>
        </w:tc>
        <w:tc>
          <w:tcPr>
            <w:tcW w:type="dxa" w:w="4320"/>
            <w:shd w:fill="F4F7FA"/>
          </w:tcPr>
          <w:p>
            <w:r>
              <w:rPr>
                <w:sz w:val="14"/>
              </w:rPr>
              <w:t>PASS, FAIL, UNKNOWN, APPROVED_NA and NOT_ASSESSED.</w:t>
            </w:r>
          </w:p>
        </w:tc>
      </w:tr>
      <w:tr>
        <w:tc>
          <w:tcPr>
            <w:tcW w:type="dxa" w:w="4320"/>
          </w:tcPr>
          <w:p>
            <w:r>
              <w:rPr>
                <w:sz w:val="14"/>
              </w:rPr>
              <w:t>Change rule</w:t>
            </w:r>
          </w:p>
        </w:tc>
        <w:tc>
          <w:tcPr>
            <w:tcW w:type="dxa" w:w="4320"/>
          </w:tcPr>
          <w:p>
            <w:r>
              <w:rPr>
                <w:sz w:val="14"/>
              </w:rPr>
              <w:t>Meaning-changing revision requires version increment, impact analysis and supersession.</w:t>
            </w:r>
          </w:p>
        </w:tc>
      </w:tr>
      <w:tr>
        <w:tc>
          <w:tcPr>
            <w:tcW w:type="dxa" w:w="4320"/>
            <w:shd w:fill="F4F7FA"/>
          </w:tcPr>
          <w:p>
            <w:r>
              <w:rPr>
                <w:sz w:val="14"/>
              </w:rPr>
              <w:t>Conflict rule</w:t>
            </w:r>
          </w:p>
        </w:tc>
        <w:tc>
          <w:tcPr>
            <w:tcW w:type="dxa" w:w="4320"/>
            <w:shd w:fill="F4F7FA"/>
          </w:tcPr>
          <w:p>
            <w:r>
              <w:rPr>
                <w:sz w:val="14"/>
              </w:rPr>
              <w:t>Conflicting evidence creates UNKNOWN or FAIL according to the approved gate criterion; it cannot be silently reconciled.</w:t>
            </w:r>
          </w:p>
        </w:tc>
      </w:tr>
      <w:tr>
        <w:tc>
          <w:tcPr>
            <w:tcW w:type="dxa" w:w="4320"/>
          </w:tcPr>
          <w:p>
            <w:r>
              <w:rPr>
                <w:sz w:val="14"/>
              </w:rPr>
              <w:t>Authority boundary</w:t>
            </w:r>
          </w:p>
        </w:tc>
        <w:tc>
          <w:tcPr>
            <w:tcW w:type="dxa" w:w="4320"/>
          </w:tcPr>
          <w:p>
            <w:r>
              <w:rPr>
                <w:sz w:val="14"/>
              </w:rPr>
              <w:t>Gate evaluation constrains but does not itself issue an Assurance Decision.</w:t>
            </w:r>
          </w:p>
        </w:tc>
      </w:tr>
    </w:tbl>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728"/>
            <w:shd w:fill="17365D"/>
          </w:tcPr>
          <w:p>
            <w:r>
              <w:rPr>
                <w:b/>
                <w:color w:val="FFFFFF"/>
                <w:sz w:val="15"/>
              </w:rPr>
              <w:t>Gate</w:t>
            </w:r>
          </w:p>
        </w:tc>
        <w:tc>
          <w:tcPr>
            <w:tcW w:type="dxa" w:w="1728"/>
            <w:shd w:fill="17365D"/>
          </w:tcPr>
          <w:p>
            <w:r>
              <w:rPr>
                <w:b/>
                <w:color w:val="FFFFFF"/>
                <w:sz w:val="15"/>
              </w:rPr>
              <w:t>Candidate name</w:t>
            </w:r>
          </w:p>
        </w:tc>
        <w:tc>
          <w:tcPr>
            <w:tcW w:type="dxa" w:w="1728"/>
            <w:shd w:fill="17365D"/>
          </w:tcPr>
          <w:p>
            <w:r>
              <w:rPr>
                <w:b/>
                <w:color w:val="FFFFFF"/>
                <w:sz w:val="15"/>
              </w:rPr>
              <w:t>Minimum evidence floor</w:t>
            </w:r>
          </w:p>
        </w:tc>
        <w:tc>
          <w:tcPr>
            <w:tcW w:type="dxa" w:w="1728"/>
            <w:shd w:fill="17365D"/>
          </w:tcPr>
          <w:p>
            <w:r>
              <w:rPr>
                <w:b/>
                <w:color w:val="FFFFFF"/>
                <w:sz w:val="15"/>
              </w:rPr>
              <w:t>FAIL/UNKNOWN trigger</w:t>
            </w:r>
          </w:p>
        </w:tc>
        <w:tc>
          <w:tcPr>
            <w:tcW w:type="dxa" w:w="1728"/>
            <w:shd w:fill="17365D"/>
          </w:tcPr>
          <w:p>
            <w:r>
              <w:rPr>
                <w:b/>
                <w:color w:val="FFFFFF"/>
                <w:sz w:val="15"/>
              </w:rPr>
              <w:t>Decision effect</w:t>
            </w:r>
          </w:p>
        </w:tc>
      </w:tr>
      <w:tr>
        <w:tc>
          <w:tcPr>
            <w:tcW w:type="dxa" w:w="1728"/>
          </w:tcPr>
          <w:p>
            <w:r>
              <w:rPr>
                <w:sz w:val="14"/>
              </w:rPr>
              <w:t>CG-01</w:t>
            </w:r>
          </w:p>
        </w:tc>
        <w:tc>
          <w:tcPr>
            <w:tcW w:type="dxa" w:w="1728"/>
          </w:tcPr>
          <w:p>
            <w:r>
              <w:rPr>
                <w:sz w:val="14"/>
              </w:rPr>
              <w:t>Capability definition</w:t>
            </w:r>
          </w:p>
        </w:tc>
        <w:tc>
          <w:tcPr>
            <w:tcW w:type="dxa" w:w="1728"/>
          </w:tcPr>
          <w:p>
            <w:r>
              <w:rPr>
                <w:sz w:val="14"/>
              </w:rPr>
              <w:t>Defined Capability Instance, owner, outcomes and criticality</w:t>
            </w:r>
          </w:p>
        </w:tc>
        <w:tc>
          <w:tcPr>
            <w:tcW w:type="dxa" w:w="1728"/>
          </w:tcPr>
          <w:p>
            <w:r>
              <w:rPr>
                <w:sz w:val="14"/>
              </w:rPr>
              <w:t>Undefined or materially ambiguous subject</w:t>
            </w:r>
          </w:p>
        </w:tc>
        <w:tc>
          <w:tcPr>
            <w:tcW w:type="dxa" w:w="1728"/>
          </w:tcPr>
          <w:p>
            <w:r>
              <w:rPr>
                <w:sz w:val="14"/>
              </w:rPr>
              <w:t>Blocks positive conclusion</w:t>
            </w:r>
          </w:p>
        </w:tc>
      </w:tr>
      <w:tr>
        <w:tc>
          <w:tcPr>
            <w:tcW w:type="dxa" w:w="1728"/>
            <w:shd w:fill="F4F7FA"/>
          </w:tcPr>
          <w:p>
            <w:r>
              <w:rPr>
                <w:sz w:val="14"/>
              </w:rPr>
              <w:t>CG-02</w:t>
            </w:r>
          </w:p>
        </w:tc>
        <w:tc>
          <w:tcPr>
            <w:tcW w:type="dxa" w:w="1728"/>
            <w:shd w:fill="F4F7FA"/>
          </w:tcPr>
          <w:p>
            <w:r>
              <w:rPr>
                <w:sz w:val="14"/>
              </w:rPr>
              <w:t>Boundary and operating envelope</w:t>
            </w:r>
          </w:p>
        </w:tc>
        <w:tc>
          <w:tcPr>
            <w:tcW w:type="dxa" w:w="1728"/>
            <w:shd w:fill="F4F7FA"/>
          </w:tcPr>
          <w:p>
            <w:r>
              <w:rPr>
                <w:sz w:val="14"/>
              </w:rPr>
              <w:t>Physical, logical, provider, state, time and demand boundary</w:t>
            </w:r>
          </w:p>
        </w:tc>
        <w:tc>
          <w:tcPr>
            <w:tcW w:type="dxa" w:w="1728"/>
            <w:shd w:fill="F4F7FA"/>
          </w:tcPr>
          <w:p>
            <w:r>
              <w:rPr>
                <w:sz w:val="14"/>
              </w:rPr>
              <w:t>Material boundary or tolerance UNKNOWN</w:t>
            </w:r>
          </w:p>
        </w:tc>
        <w:tc>
          <w:tcPr>
            <w:tcW w:type="dxa" w:w="1728"/>
            <w:shd w:fill="F4F7FA"/>
          </w:tcPr>
          <w:p>
            <w:r>
              <w:rPr>
                <w:sz w:val="14"/>
              </w:rPr>
              <w:t>Applies ceiling</w:t>
            </w:r>
          </w:p>
        </w:tc>
      </w:tr>
      <w:tr>
        <w:tc>
          <w:tcPr>
            <w:tcW w:type="dxa" w:w="1728"/>
          </w:tcPr>
          <w:p>
            <w:r>
              <w:rPr>
                <w:sz w:val="14"/>
              </w:rPr>
              <w:t>CG-03</w:t>
            </w:r>
          </w:p>
        </w:tc>
        <w:tc>
          <w:tcPr>
            <w:tcW w:type="dxa" w:w="1728"/>
          </w:tcPr>
          <w:p>
            <w:r>
              <w:rPr>
                <w:sz w:val="14"/>
              </w:rPr>
              <w:t>Dependency and provider confidence</w:t>
            </w:r>
          </w:p>
        </w:tc>
        <w:tc>
          <w:tcPr>
            <w:tcW w:type="dxa" w:w="1728"/>
          </w:tcPr>
          <w:p>
            <w:r>
              <w:rPr>
                <w:sz w:val="14"/>
              </w:rPr>
              <w:t>Internal, shared, external and recovery dependencies</w:t>
            </w:r>
          </w:p>
        </w:tc>
        <w:tc>
          <w:tcPr>
            <w:tcW w:type="dxa" w:w="1728"/>
          </w:tcPr>
          <w:p>
            <w:r>
              <w:rPr>
                <w:sz w:val="14"/>
              </w:rPr>
              <w:t>Hidden common mode or critical provider uncertainty</w:t>
            </w:r>
          </w:p>
        </w:tc>
        <w:tc>
          <w:tcPr>
            <w:tcW w:type="dxa" w:w="1728"/>
          </w:tcPr>
          <w:p>
            <w:r>
              <w:rPr>
                <w:sz w:val="14"/>
              </w:rPr>
              <w:t>Constrains reliance</w:t>
            </w:r>
          </w:p>
        </w:tc>
      </w:tr>
      <w:tr>
        <w:tc>
          <w:tcPr>
            <w:tcW w:type="dxa" w:w="1728"/>
            <w:shd w:fill="F4F7FA"/>
          </w:tcPr>
          <w:p>
            <w:r>
              <w:rPr>
                <w:sz w:val="14"/>
              </w:rPr>
              <w:t>CG-04</w:t>
            </w:r>
          </w:p>
        </w:tc>
        <w:tc>
          <w:tcPr>
            <w:tcW w:type="dxa" w:w="1728"/>
            <w:shd w:fill="F4F7FA"/>
          </w:tcPr>
          <w:p>
            <w:r>
              <w:rPr>
                <w:sz w:val="14"/>
              </w:rPr>
              <w:t>Physical and environmental suitability</w:t>
            </w:r>
          </w:p>
        </w:tc>
        <w:tc>
          <w:tcPr>
            <w:tcW w:type="dxa" w:w="1728"/>
            <w:shd w:fill="F4F7FA"/>
          </w:tcPr>
          <w:p>
            <w:r>
              <w:rPr>
                <w:sz w:val="14"/>
              </w:rPr>
              <w:t>Site, building, zoning, hazard and environmental evidence</w:t>
            </w:r>
          </w:p>
        </w:tc>
        <w:tc>
          <w:tcPr>
            <w:tcW w:type="dxa" w:w="1728"/>
            <w:shd w:fill="F4F7FA"/>
          </w:tcPr>
          <w:p>
            <w:r>
              <w:rPr>
                <w:sz w:val="14"/>
              </w:rPr>
              <w:t>Material suitability deficiency</w:t>
            </w:r>
          </w:p>
        </w:tc>
        <w:tc>
          <w:tcPr>
            <w:tcW w:type="dxa" w:w="1728"/>
            <w:shd w:fill="F4F7FA"/>
          </w:tcPr>
          <w:p>
            <w:r>
              <w:rPr>
                <w:sz w:val="14"/>
              </w:rPr>
              <w:t>May produce NOT ASSURED</w:t>
            </w:r>
          </w:p>
        </w:tc>
      </w:tr>
      <w:tr>
        <w:tc>
          <w:tcPr>
            <w:tcW w:type="dxa" w:w="1728"/>
          </w:tcPr>
          <w:p>
            <w:r>
              <w:rPr>
                <w:sz w:val="14"/>
              </w:rPr>
              <w:t>CG-05</w:t>
            </w:r>
          </w:p>
        </w:tc>
        <w:tc>
          <w:tcPr>
            <w:tcW w:type="dxa" w:w="1728"/>
          </w:tcPr>
          <w:p>
            <w:r>
              <w:rPr>
                <w:sz w:val="14"/>
              </w:rPr>
              <w:t>Electrical continuity</w:t>
            </w:r>
          </w:p>
        </w:tc>
        <w:tc>
          <w:tcPr>
            <w:tcW w:type="dxa" w:w="1728"/>
          </w:tcPr>
          <w:p>
            <w:r>
              <w:rPr>
                <w:sz w:val="14"/>
              </w:rPr>
              <w:t>Capacity, quality, protection, autonomy and restoration</w:t>
            </w:r>
          </w:p>
        </w:tc>
        <w:tc>
          <w:tcPr>
            <w:tcW w:type="dxa" w:w="1728"/>
          </w:tcPr>
          <w:p>
            <w:r>
              <w:rPr>
                <w:sz w:val="14"/>
              </w:rPr>
              <w:t>Controlling path failure or insufficient evidence</w:t>
            </w:r>
          </w:p>
        </w:tc>
        <w:tc>
          <w:tcPr>
            <w:tcW w:type="dxa" w:w="1728"/>
          </w:tcPr>
          <w:p>
            <w:r>
              <w:rPr>
                <w:sz w:val="14"/>
              </w:rPr>
              <w:t>Non-compensating</w:t>
            </w:r>
          </w:p>
        </w:tc>
      </w:tr>
      <w:tr>
        <w:tc>
          <w:tcPr>
            <w:tcW w:type="dxa" w:w="1728"/>
            <w:shd w:fill="F4F7FA"/>
          </w:tcPr>
          <w:p>
            <w:r>
              <w:rPr>
                <w:sz w:val="14"/>
              </w:rPr>
              <w:t>CG-06</w:t>
            </w:r>
          </w:p>
        </w:tc>
        <w:tc>
          <w:tcPr>
            <w:tcW w:type="dxa" w:w="1728"/>
            <w:shd w:fill="F4F7FA"/>
          </w:tcPr>
          <w:p>
            <w:r>
              <w:rPr>
                <w:sz w:val="14"/>
              </w:rPr>
              <w:t>Thermal and fluid continuity</w:t>
            </w:r>
          </w:p>
        </w:tc>
        <w:tc>
          <w:tcPr>
            <w:tcW w:type="dxa" w:w="1728"/>
            <w:shd w:fill="F4F7FA"/>
          </w:tcPr>
          <w:p>
            <w:r>
              <w:rPr>
                <w:sz w:val="14"/>
              </w:rPr>
              <w:t>Heat-load model, resilient capacity, fluid integrity and recovery</w:t>
            </w:r>
          </w:p>
        </w:tc>
        <w:tc>
          <w:tcPr>
            <w:tcW w:type="dxa" w:w="1728"/>
            <w:shd w:fill="F4F7FA"/>
          </w:tcPr>
          <w:p>
            <w:r>
              <w:rPr>
                <w:sz w:val="14"/>
              </w:rPr>
              <w:t>Thermal excursion, common controller or unverified recovery</w:t>
            </w:r>
          </w:p>
        </w:tc>
        <w:tc>
          <w:tcPr>
            <w:tcW w:type="dxa" w:w="1728"/>
            <w:shd w:fill="F4F7FA"/>
          </w:tcPr>
          <w:p>
            <w:r>
              <w:rPr>
                <w:sz w:val="14"/>
              </w:rPr>
              <w:t>Non-compensating</w:t>
            </w:r>
          </w:p>
        </w:tc>
      </w:tr>
      <w:tr>
        <w:tc>
          <w:tcPr>
            <w:tcW w:type="dxa" w:w="1728"/>
          </w:tcPr>
          <w:p>
            <w:r>
              <w:rPr>
                <w:sz w:val="14"/>
              </w:rPr>
              <w:t>CG-07</w:t>
            </w:r>
          </w:p>
        </w:tc>
        <w:tc>
          <w:tcPr>
            <w:tcW w:type="dxa" w:w="1728"/>
          </w:tcPr>
          <w:p>
            <w:r>
              <w:rPr>
                <w:sz w:val="14"/>
              </w:rPr>
              <w:t>Operational and control authority</w:t>
            </w:r>
          </w:p>
        </w:tc>
        <w:tc>
          <w:tcPr>
            <w:tcW w:type="dxa" w:w="1728"/>
          </w:tcPr>
          <w:p>
            <w:r>
              <w:rPr>
                <w:sz w:val="14"/>
              </w:rPr>
              <w:t>Competence, procedures, alarms, access and safe change</w:t>
            </w:r>
          </w:p>
        </w:tc>
        <w:tc>
          <w:tcPr>
            <w:tcW w:type="dxa" w:w="1728"/>
          </w:tcPr>
          <w:p>
            <w:r>
              <w:rPr>
                <w:sz w:val="14"/>
              </w:rPr>
              <w:t>Unclear authority or unsafe control</w:t>
            </w:r>
          </w:p>
        </w:tc>
        <w:tc>
          <w:tcPr>
            <w:tcW w:type="dxa" w:w="1728"/>
          </w:tcPr>
          <w:p>
            <w:r>
              <w:rPr>
                <w:sz w:val="14"/>
              </w:rPr>
              <w:t>Blocks operational reliance</w:t>
            </w:r>
          </w:p>
        </w:tc>
      </w:tr>
      <w:tr>
        <w:tc>
          <w:tcPr>
            <w:tcW w:type="dxa" w:w="1728"/>
            <w:shd w:fill="F4F7FA"/>
          </w:tcPr>
          <w:p>
            <w:r>
              <w:rPr>
                <w:sz w:val="14"/>
              </w:rPr>
              <w:t>CG-08</w:t>
            </w:r>
          </w:p>
        </w:tc>
        <w:tc>
          <w:tcPr>
            <w:tcW w:type="dxa" w:w="1728"/>
            <w:shd w:fill="F4F7FA"/>
          </w:tcPr>
          <w:p>
            <w:r>
              <w:rPr>
                <w:sz w:val="14"/>
              </w:rPr>
              <w:t>AI technology service-chain integrity</w:t>
            </w:r>
          </w:p>
        </w:tc>
        <w:tc>
          <w:tcPr>
            <w:tcW w:type="dxa" w:w="1728"/>
            <w:shd w:fill="F4F7FA"/>
          </w:tcPr>
          <w:p>
            <w:r>
              <w:rPr>
                <w:sz w:val="14"/>
              </w:rPr>
              <w:t>Compute, storage and network performance and health</w:t>
            </w:r>
          </w:p>
        </w:tc>
        <w:tc>
          <w:tcPr>
            <w:tcW w:type="dxa" w:w="1728"/>
            <w:shd w:fill="F4F7FA"/>
          </w:tcPr>
          <w:p>
            <w:r>
              <w:rPr>
                <w:sz w:val="14"/>
              </w:rPr>
              <w:t>Material technology-chain failure</w:t>
            </w:r>
          </w:p>
        </w:tc>
        <w:tc>
          <w:tcPr>
            <w:tcW w:type="dxa" w:w="1728"/>
            <w:shd w:fill="F4F7FA"/>
          </w:tcPr>
          <w:p>
            <w:r>
              <w:rPr>
                <w:sz w:val="14"/>
              </w:rPr>
              <w:t>Constrains capability claim</w:t>
            </w:r>
          </w:p>
        </w:tc>
      </w:tr>
      <w:tr>
        <w:tc>
          <w:tcPr>
            <w:tcW w:type="dxa" w:w="1728"/>
          </w:tcPr>
          <w:p>
            <w:r>
              <w:rPr>
                <w:sz w:val="14"/>
              </w:rPr>
              <w:t>CG-09</w:t>
            </w:r>
          </w:p>
        </w:tc>
        <w:tc>
          <w:tcPr>
            <w:tcW w:type="dxa" w:w="1728"/>
          </w:tcPr>
          <w:p>
            <w:r>
              <w:rPr>
                <w:sz w:val="14"/>
              </w:rPr>
              <w:t>Containment and resilience</w:t>
            </w:r>
          </w:p>
        </w:tc>
        <w:tc>
          <w:tcPr>
            <w:tcW w:type="dxa" w:w="1728"/>
          </w:tcPr>
          <w:p>
            <w:r>
              <w:rPr>
                <w:sz w:val="14"/>
              </w:rPr>
              <w:t>Fault domains, graceful degradation and containment evidence</w:t>
            </w:r>
          </w:p>
        </w:tc>
        <w:tc>
          <w:tcPr>
            <w:tcW w:type="dxa" w:w="1728"/>
          </w:tcPr>
          <w:p>
            <w:r>
              <w:rPr>
                <w:sz w:val="14"/>
              </w:rPr>
              <w:t>Uncontained propagation or untested material scenario</w:t>
            </w:r>
          </w:p>
        </w:tc>
        <w:tc>
          <w:tcPr>
            <w:tcW w:type="dxa" w:w="1728"/>
          </w:tcPr>
          <w:p>
            <w:r>
              <w:rPr>
                <w:sz w:val="14"/>
              </w:rPr>
              <w:t>Blocks resilience claim</w:t>
            </w:r>
          </w:p>
        </w:tc>
      </w:tr>
      <w:tr>
        <w:tc>
          <w:tcPr>
            <w:tcW w:type="dxa" w:w="1728"/>
            <w:shd w:fill="F4F7FA"/>
          </w:tcPr>
          <w:p>
            <w:r>
              <w:rPr>
                <w:sz w:val="14"/>
              </w:rPr>
              <w:t>CG-10</w:t>
            </w:r>
          </w:p>
        </w:tc>
        <w:tc>
          <w:tcPr>
            <w:tcW w:type="dxa" w:w="1728"/>
            <w:shd w:fill="F4F7FA"/>
          </w:tcPr>
          <w:p>
            <w:r>
              <w:rPr>
                <w:sz w:val="14"/>
              </w:rPr>
              <w:t>Recovery and restoration</w:t>
            </w:r>
          </w:p>
        </w:tc>
        <w:tc>
          <w:tcPr>
            <w:tcW w:type="dxa" w:w="1728"/>
            <w:shd w:fill="F4F7FA"/>
          </w:tcPr>
          <w:p>
            <w:r>
              <w:rPr>
                <w:sz w:val="14"/>
              </w:rPr>
              <w:t>Recovery capacity, sequence, integrity and outcome test</w:t>
            </w:r>
          </w:p>
        </w:tc>
        <w:tc>
          <w:tcPr>
            <w:tcW w:type="dxa" w:w="1728"/>
            <w:shd w:fill="F4F7FA"/>
          </w:tcPr>
          <w:p>
            <w:r>
              <w:rPr>
                <w:sz w:val="14"/>
              </w:rPr>
              <w:t>Material recovery path UNKNOWN or failed</w:t>
            </w:r>
          </w:p>
        </w:tc>
        <w:tc>
          <w:tcPr>
            <w:tcW w:type="dxa" w:w="1728"/>
            <w:shd w:fill="F4F7FA"/>
          </w:tcPr>
          <w:p>
            <w:r>
              <w:rPr>
                <w:sz w:val="14"/>
              </w:rPr>
              <w:t>Limits or suspends</w:t>
            </w:r>
          </w:p>
        </w:tc>
      </w:tr>
      <w:tr>
        <w:tc>
          <w:tcPr>
            <w:tcW w:type="dxa" w:w="1728"/>
          </w:tcPr>
          <w:p>
            <w:r>
              <w:rPr>
                <w:sz w:val="14"/>
              </w:rPr>
              <w:t>CG-11</w:t>
            </w:r>
          </w:p>
        </w:tc>
        <w:tc>
          <w:tcPr>
            <w:tcW w:type="dxa" w:w="1728"/>
          </w:tcPr>
          <w:p>
            <w:r>
              <w:rPr>
                <w:sz w:val="14"/>
              </w:rPr>
              <w:t>Evidence integrity and sufficiency</w:t>
            </w:r>
          </w:p>
        </w:tc>
        <w:tc>
          <w:tcPr>
            <w:tcW w:type="dxa" w:w="1728"/>
          </w:tcPr>
          <w:p>
            <w:r>
              <w:rPr>
                <w:sz w:val="14"/>
              </w:rPr>
              <w:t>Provenance, freshness, coverage, integrity and sufficiency</w:t>
            </w:r>
          </w:p>
        </w:tc>
        <w:tc>
          <w:tcPr>
            <w:tcW w:type="dxa" w:w="1728"/>
          </w:tcPr>
          <w:p>
            <w:r>
              <w:rPr>
                <w:sz w:val="14"/>
              </w:rPr>
              <w:t>Evidence cannot support a material assertion</w:t>
            </w:r>
          </w:p>
        </w:tc>
        <w:tc>
          <w:tcPr>
            <w:tcW w:type="dxa" w:w="1728"/>
          </w:tcPr>
          <w:p>
            <w:r>
              <w:rPr>
                <w:sz w:val="14"/>
              </w:rPr>
              <w:t>Blocks favourable result</w:t>
            </w:r>
          </w:p>
        </w:tc>
      </w:tr>
      <w:tr>
        <w:tc>
          <w:tcPr>
            <w:tcW w:type="dxa" w:w="1728"/>
            <w:shd w:fill="F4F7FA"/>
          </w:tcPr>
          <w:p>
            <w:r>
              <w:rPr>
                <w:sz w:val="14"/>
              </w:rPr>
              <w:t>CG-12</w:t>
            </w:r>
          </w:p>
        </w:tc>
        <w:tc>
          <w:tcPr>
            <w:tcW w:type="dxa" w:w="1728"/>
            <w:shd w:fill="F4F7FA"/>
          </w:tcPr>
          <w:p>
            <w:r>
              <w:rPr>
                <w:sz w:val="14"/>
              </w:rPr>
              <w:t>Traceability and completeness</w:t>
            </w:r>
          </w:p>
        </w:tc>
        <w:tc>
          <w:tcPr>
            <w:tcW w:type="dxa" w:w="1728"/>
            <w:shd w:fill="F4F7FA"/>
          </w:tcPr>
          <w:p>
            <w:r>
              <w:rPr>
                <w:sz w:val="14"/>
              </w:rPr>
              <w:t>Forward/reverse lineage, conflicts, exclusions and UNKNOWN</w:t>
            </w:r>
          </w:p>
        </w:tc>
        <w:tc>
          <w:tcPr>
            <w:tcW w:type="dxa" w:w="1728"/>
            <w:shd w:fill="F4F7FA"/>
          </w:tcPr>
          <w:p>
            <w:r>
              <w:rPr>
                <w:sz w:val="14"/>
              </w:rPr>
              <w:t>Orphan result or incomplete chain</w:t>
            </w:r>
          </w:p>
        </w:tc>
        <w:tc>
          <w:tcPr>
            <w:tcW w:type="dxa" w:w="1728"/>
            <w:shd w:fill="F4F7FA"/>
          </w:tcPr>
          <w:p>
            <w:r>
              <w:rPr>
                <w:sz w:val="14"/>
              </w:rPr>
              <w:t>Blocks issued statement</w:t>
            </w:r>
          </w:p>
        </w:tc>
      </w:tr>
      <w:tr>
        <w:tc>
          <w:tcPr>
            <w:tcW w:type="dxa" w:w="1728"/>
          </w:tcPr>
          <w:p>
            <w:r>
              <w:rPr>
                <w:sz w:val="14"/>
              </w:rPr>
              <w:t>CG-13</w:t>
            </w:r>
          </w:p>
        </w:tc>
        <w:tc>
          <w:tcPr>
            <w:tcW w:type="dxa" w:w="1728"/>
          </w:tcPr>
          <w:p>
            <w:r>
              <w:rPr>
                <w:sz w:val="14"/>
              </w:rPr>
              <w:t>Governance, competence and accountability</w:t>
            </w:r>
          </w:p>
        </w:tc>
        <w:tc>
          <w:tcPr>
            <w:tcW w:type="dxa" w:w="1728"/>
          </w:tcPr>
          <w:p>
            <w:r>
              <w:rPr>
                <w:sz w:val="14"/>
              </w:rPr>
              <w:t>Decision rights, ownership, competence and independence</w:t>
            </w:r>
          </w:p>
        </w:tc>
        <w:tc>
          <w:tcPr>
            <w:tcW w:type="dxa" w:w="1728"/>
          </w:tcPr>
          <w:p>
            <w:r>
              <w:rPr>
                <w:sz w:val="14"/>
              </w:rPr>
              <w:t>No accountable authority or material conflict</w:t>
            </w:r>
          </w:p>
        </w:tc>
        <w:tc>
          <w:tcPr>
            <w:tcW w:type="dxa" w:w="1728"/>
          </w:tcPr>
          <w:p>
            <w:r>
              <w:rPr>
                <w:sz w:val="14"/>
              </w:rPr>
              <w:t>Blocks issuance</w:t>
            </w:r>
          </w:p>
        </w:tc>
      </w:tr>
      <w:tr>
        <w:tc>
          <w:tcPr>
            <w:tcW w:type="dxa" w:w="1728"/>
            <w:shd w:fill="F4F7FA"/>
          </w:tcPr>
          <w:p>
            <w:r>
              <w:rPr>
                <w:sz w:val="14"/>
              </w:rPr>
              <w:t>CG-14</w:t>
            </w:r>
          </w:p>
        </w:tc>
        <w:tc>
          <w:tcPr>
            <w:tcW w:type="dxa" w:w="1728"/>
            <w:shd w:fill="F4F7FA"/>
          </w:tcPr>
          <w:p>
            <w:r>
              <w:rPr>
                <w:sz w:val="14"/>
              </w:rPr>
              <w:t>Validity, change and continuing assurance</w:t>
            </w:r>
          </w:p>
        </w:tc>
        <w:tc>
          <w:tcPr>
            <w:tcW w:type="dxa" w:w="1728"/>
            <w:shd w:fill="F4F7FA"/>
          </w:tcPr>
          <w:p>
            <w:r>
              <w:rPr>
                <w:sz w:val="14"/>
              </w:rPr>
              <w:t>Validity, monitoring, trigger and reassessment records</w:t>
            </w:r>
          </w:p>
        </w:tc>
        <w:tc>
          <w:tcPr>
            <w:tcW w:type="dxa" w:w="1728"/>
            <w:shd w:fill="F4F7FA"/>
          </w:tcPr>
          <w:p>
            <w:r>
              <w:rPr>
                <w:sz w:val="14"/>
              </w:rPr>
              <w:t>Material change invalidates conditions</w:t>
            </w:r>
          </w:p>
        </w:tc>
        <w:tc>
          <w:tcPr>
            <w:tcW w:type="dxa" w:w="1728"/>
            <w:shd w:fill="F4F7FA"/>
          </w:tcPr>
          <w:p>
            <w:r>
              <w:rPr>
                <w:sz w:val="14"/>
              </w:rPr>
              <w:t>Suspends prior decision</w:t>
            </w:r>
          </w:p>
        </w:tc>
      </w:tr>
      <w:tr>
        <w:tc>
          <w:tcPr>
            <w:tcW w:type="dxa" w:w="1728"/>
          </w:tcPr>
          <w:p>
            <w:r>
              <w:rPr>
                <w:sz w:val="14"/>
              </w:rPr>
              <w:t>CG-15</w:t>
            </w:r>
          </w:p>
        </w:tc>
        <w:tc>
          <w:tcPr>
            <w:tcW w:type="dxa" w:w="1728"/>
          </w:tcPr>
          <w:p>
            <w:r>
              <w:rPr>
                <w:sz w:val="14"/>
              </w:rPr>
              <w:t>Digital and OT security authority</w:t>
            </w:r>
          </w:p>
        </w:tc>
        <w:tc>
          <w:tcPr>
            <w:tcW w:type="dxa" w:w="1728"/>
          </w:tcPr>
          <w:p>
            <w:r>
              <w:rPr>
                <w:sz w:val="14"/>
              </w:rPr>
              <w:t>Identity, privilege, segmentation, detection and safe automation</w:t>
            </w:r>
          </w:p>
        </w:tc>
        <w:tc>
          <w:tcPr>
            <w:tcW w:type="dxa" w:w="1728"/>
          </w:tcPr>
          <w:p>
            <w:r>
              <w:rPr>
                <w:sz w:val="14"/>
              </w:rPr>
              <w:t>Uncontrolled privileged or automated path</w:t>
            </w:r>
          </w:p>
        </w:tc>
        <w:tc>
          <w:tcPr>
            <w:tcW w:type="dxa" w:w="1728"/>
          </w:tcPr>
          <w:p>
            <w:r>
              <w:rPr>
                <w:sz w:val="14"/>
              </w:rPr>
              <w:t>May block operation</w:t>
            </w:r>
          </w:p>
        </w:tc>
      </w:tr>
    </w:tbl>
    <w:p/>
    <w:tbl>
      <w:tblPr>
        <w:tblW w:type="auto" w:w="0"/>
        <w:tblLook w:firstColumn="1" w:firstRow="1" w:lastColumn="0" w:lastRow="0" w:noHBand="0" w:noVBand="1" w:val="04A0"/>
      </w:tblPr>
      <w:tblGrid>
        <w:gridCol w:w="8640"/>
      </w:tblGrid>
      <w:tr>
        <w:tc>
          <w:tcPr>
            <w:tcW w:type="dxa" w:w="8640"/>
            <w:shd w:fill="FFF2CC"/>
          </w:tcPr>
          <w:p>
            <w:r>
              <w:rPr>
                <w:b/>
              </w:rPr>
              <w:t>Approval status</w:t>
              <w:br/>
            </w:r>
            <w:r>
              <w:t>Candidate canonical package prepared. Formal ratification remains PENDING because no signed multidisciplinary approval record was found or provided.</w:t>
            </w:r>
          </w:p>
        </w:tc>
      </w:tr>
    </w:tbl>
    <w:p/>
    <w:p>
      <w:r>
        <w:br w:type="page"/>
      </w:r>
    </w:p>
    <w:p>
      <w:pPr>
        <w:pStyle w:val="Heading1"/>
      </w:pPr>
      <w:r>
        <w:t>33. Critical-gate approval record and sign-off matrix</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fill="17365D"/>
          </w:tcPr>
          <w:p>
            <w:r>
              <w:rPr>
                <w:b/>
                <w:color w:val="FFFFFF"/>
                <w:sz w:val="15"/>
              </w:rPr>
              <w:t>Role</w:t>
            </w:r>
          </w:p>
        </w:tc>
        <w:tc>
          <w:tcPr>
            <w:tcW w:type="dxa" w:w="2160"/>
            <w:shd w:fill="17365D"/>
          </w:tcPr>
          <w:p>
            <w:r>
              <w:rPr>
                <w:b/>
                <w:color w:val="FFFFFF"/>
                <w:sz w:val="15"/>
              </w:rPr>
              <w:t>Required review</w:t>
            </w:r>
          </w:p>
        </w:tc>
        <w:tc>
          <w:tcPr>
            <w:tcW w:type="dxa" w:w="2160"/>
            <w:shd w:fill="17365D"/>
          </w:tcPr>
          <w:p>
            <w:r>
              <w:rPr>
                <w:b/>
                <w:color w:val="FFFFFF"/>
                <w:sz w:val="15"/>
              </w:rPr>
              <w:t>Decision</w:t>
            </w:r>
          </w:p>
        </w:tc>
        <w:tc>
          <w:tcPr>
            <w:tcW w:type="dxa" w:w="2160"/>
            <w:shd w:fill="17365D"/>
          </w:tcPr>
          <w:p>
            <w:r>
              <w:rPr>
                <w:b/>
                <w:color w:val="FFFFFF"/>
                <w:sz w:val="15"/>
              </w:rPr>
              <w:t>Evidence required</w:t>
            </w:r>
          </w:p>
        </w:tc>
      </w:tr>
      <w:tr>
        <w:tc>
          <w:tcPr>
            <w:tcW w:type="dxa" w:w="2160"/>
          </w:tcPr>
          <w:p>
            <w:r>
              <w:rPr>
                <w:sz w:val="14"/>
              </w:rPr>
              <w:t>Methodology owner</w:t>
            </w:r>
          </w:p>
        </w:tc>
        <w:tc>
          <w:tcPr>
            <w:tcW w:type="dxa" w:w="2160"/>
          </w:tcPr>
          <w:p>
            <w:r>
              <w:rPr>
                <w:sz w:val="14"/>
              </w:rPr>
              <w:t>Coherence with AIDCF principles and downstream artifacts</w:t>
            </w:r>
          </w:p>
        </w:tc>
        <w:tc>
          <w:tcPr>
            <w:tcW w:type="dxa" w:w="2160"/>
          </w:tcPr>
          <w:p>
            <w:r>
              <w:rPr>
                <w:sz w:val="14"/>
              </w:rPr>
              <w:t>Pending</w:t>
            </w:r>
          </w:p>
        </w:tc>
        <w:tc>
          <w:tcPr>
            <w:tcW w:type="dxa" w:w="2160"/>
          </w:tcPr>
          <w:p>
            <w:r>
              <w:rPr>
                <w:sz w:val="14"/>
              </w:rPr>
              <w:t>Signed approval record</w:t>
            </w:r>
          </w:p>
        </w:tc>
      </w:tr>
      <w:tr>
        <w:tc>
          <w:tcPr>
            <w:tcW w:type="dxa" w:w="2160"/>
            <w:shd w:fill="F4F7FA"/>
          </w:tcPr>
          <w:p>
            <w:r>
              <w:rPr>
                <w:sz w:val="14"/>
              </w:rPr>
              <w:t>Assurance/scoring reviewer</w:t>
            </w:r>
          </w:p>
        </w:tc>
        <w:tc>
          <w:tcPr>
            <w:tcW w:type="dxa" w:w="2160"/>
            <w:shd w:fill="F4F7FA"/>
          </w:tcPr>
          <w:p>
            <w:r>
              <w:rPr>
                <w:sz w:val="14"/>
              </w:rPr>
              <w:t>Gate dominance, UNKNOWN and decision effects</w:t>
            </w:r>
          </w:p>
        </w:tc>
        <w:tc>
          <w:tcPr>
            <w:tcW w:type="dxa" w:w="2160"/>
            <w:shd w:fill="F4F7FA"/>
          </w:tcPr>
          <w:p>
            <w:r>
              <w:rPr>
                <w:sz w:val="14"/>
              </w:rPr>
              <w:t>Pending</w:t>
            </w:r>
          </w:p>
        </w:tc>
        <w:tc>
          <w:tcPr>
            <w:tcW w:type="dxa" w:w="2160"/>
            <w:shd w:fill="F4F7FA"/>
          </w:tcPr>
          <w:p>
            <w:r>
              <w:rPr>
                <w:sz w:val="14"/>
              </w:rPr>
              <w:t>Independent review memo</w:t>
            </w:r>
          </w:p>
        </w:tc>
      </w:tr>
      <w:tr>
        <w:tc>
          <w:tcPr>
            <w:tcW w:type="dxa" w:w="2160"/>
          </w:tcPr>
          <w:p>
            <w:r>
              <w:rPr>
                <w:sz w:val="14"/>
              </w:rPr>
              <w:t>Electrical SME</w:t>
            </w:r>
          </w:p>
        </w:tc>
        <w:tc>
          <w:tcPr>
            <w:tcW w:type="dxa" w:w="2160"/>
          </w:tcPr>
          <w:p>
            <w:r>
              <w:rPr>
                <w:sz w:val="14"/>
              </w:rPr>
              <w:t>CG-05 and cross-domain electrical effects</w:t>
            </w:r>
          </w:p>
        </w:tc>
        <w:tc>
          <w:tcPr>
            <w:tcW w:type="dxa" w:w="2160"/>
          </w:tcPr>
          <w:p>
            <w:r>
              <w:rPr>
                <w:sz w:val="14"/>
              </w:rPr>
              <w:t>Pending</w:t>
            </w:r>
          </w:p>
        </w:tc>
        <w:tc>
          <w:tcPr>
            <w:tcW w:type="dxa" w:w="2160"/>
          </w:tcPr>
          <w:p>
            <w:r>
              <w:rPr>
                <w:sz w:val="14"/>
              </w:rPr>
              <w:t>Domain disposition</w:t>
            </w:r>
          </w:p>
        </w:tc>
      </w:tr>
      <w:tr>
        <w:tc>
          <w:tcPr>
            <w:tcW w:type="dxa" w:w="2160"/>
            <w:shd w:fill="F4F7FA"/>
          </w:tcPr>
          <w:p>
            <w:r>
              <w:rPr>
                <w:sz w:val="14"/>
              </w:rPr>
              <w:t>Mechanical/thermal SME</w:t>
            </w:r>
          </w:p>
        </w:tc>
        <w:tc>
          <w:tcPr>
            <w:tcW w:type="dxa" w:w="2160"/>
            <w:shd w:fill="F4F7FA"/>
          </w:tcPr>
          <w:p>
            <w:r>
              <w:rPr>
                <w:sz w:val="14"/>
              </w:rPr>
              <w:t>CG-06 and thermal/fluid effects</w:t>
            </w:r>
          </w:p>
        </w:tc>
        <w:tc>
          <w:tcPr>
            <w:tcW w:type="dxa" w:w="2160"/>
            <w:shd w:fill="F4F7FA"/>
          </w:tcPr>
          <w:p>
            <w:r>
              <w:rPr>
                <w:sz w:val="14"/>
              </w:rPr>
              <w:t>Pending</w:t>
            </w:r>
          </w:p>
        </w:tc>
        <w:tc>
          <w:tcPr>
            <w:tcW w:type="dxa" w:w="2160"/>
            <w:shd w:fill="F4F7FA"/>
          </w:tcPr>
          <w:p>
            <w:r>
              <w:rPr>
                <w:sz w:val="14"/>
              </w:rPr>
              <w:t>Domain disposition</w:t>
            </w:r>
          </w:p>
        </w:tc>
      </w:tr>
      <w:tr>
        <w:tc>
          <w:tcPr>
            <w:tcW w:type="dxa" w:w="2160"/>
          </w:tcPr>
          <w:p>
            <w:r>
              <w:rPr>
                <w:sz w:val="14"/>
              </w:rPr>
              <w:t>Compute/HPC SME</w:t>
            </w:r>
          </w:p>
        </w:tc>
        <w:tc>
          <w:tcPr>
            <w:tcW w:type="dxa" w:w="2160"/>
          </w:tcPr>
          <w:p>
            <w:r>
              <w:rPr>
                <w:sz w:val="14"/>
              </w:rPr>
              <w:t>CG-08 compute service chain</w:t>
            </w:r>
          </w:p>
        </w:tc>
        <w:tc>
          <w:tcPr>
            <w:tcW w:type="dxa" w:w="2160"/>
          </w:tcPr>
          <w:p>
            <w:r>
              <w:rPr>
                <w:sz w:val="14"/>
              </w:rPr>
              <w:t>Pending</w:t>
            </w:r>
          </w:p>
        </w:tc>
        <w:tc>
          <w:tcPr>
            <w:tcW w:type="dxa" w:w="2160"/>
          </w:tcPr>
          <w:p>
            <w:r>
              <w:rPr>
                <w:sz w:val="14"/>
              </w:rPr>
              <w:t>Domain disposition</w:t>
            </w:r>
          </w:p>
        </w:tc>
      </w:tr>
      <w:tr>
        <w:tc>
          <w:tcPr>
            <w:tcW w:type="dxa" w:w="2160"/>
            <w:shd w:fill="F4F7FA"/>
          </w:tcPr>
          <w:p>
            <w:r>
              <w:rPr>
                <w:sz w:val="14"/>
              </w:rPr>
              <w:t>Storage/network SME</w:t>
            </w:r>
          </w:p>
        </w:tc>
        <w:tc>
          <w:tcPr>
            <w:tcW w:type="dxa" w:w="2160"/>
            <w:shd w:fill="F4F7FA"/>
          </w:tcPr>
          <w:p>
            <w:r>
              <w:rPr>
                <w:sz w:val="14"/>
              </w:rPr>
              <w:t>CG-08 and CG-10 data/fabric effects</w:t>
            </w:r>
          </w:p>
        </w:tc>
        <w:tc>
          <w:tcPr>
            <w:tcW w:type="dxa" w:w="2160"/>
            <w:shd w:fill="F4F7FA"/>
          </w:tcPr>
          <w:p>
            <w:r>
              <w:rPr>
                <w:sz w:val="14"/>
              </w:rPr>
              <w:t>Pending</w:t>
            </w:r>
          </w:p>
        </w:tc>
        <w:tc>
          <w:tcPr>
            <w:tcW w:type="dxa" w:w="2160"/>
            <w:shd w:fill="F4F7FA"/>
          </w:tcPr>
          <w:p>
            <w:r>
              <w:rPr>
                <w:sz w:val="14"/>
              </w:rPr>
              <w:t>Domain disposition</w:t>
            </w:r>
          </w:p>
        </w:tc>
      </w:tr>
      <w:tr>
        <w:tc>
          <w:tcPr>
            <w:tcW w:type="dxa" w:w="2160"/>
          </w:tcPr>
          <w:p>
            <w:r>
              <w:rPr>
                <w:sz w:val="14"/>
              </w:rPr>
              <w:t>Operations/resilience SME</w:t>
            </w:r>
          </w:p>
        </w:tc>
        <w:tc>
          <w:tcPr>
            <w:tcW w:type="dxa" w:w="2160"/>
          </w:tcPr>
          <w:p>
            <w:r>
              <w:rPr>
                <w:sz w:val="14"/>
              </w:rPr>
              <w:t>CG-07, CG-09, CG-10 and CG-14</w:t>
            </w:r>
          </w:p>
        </w:tc>
        <w:tc>
          <w:tcPr>
            <w:tcW w:type="dxa" w:w="2160"/>
          </w:tcPr>
          <w:p>
            <w:r>
              <w:rPr>
                <w:sz w:val="14"/>
              </w:rPr>
              <w:t>Pending</w:t>
            </w:r>
          </w:p>
        </w:tc>
        <w:tc>
          <w:tcPr>
            <w:tcW w:type="dxa" w:w="2160"/>
          </w:tcPr>
          <w:p>
            <w:r>
              <w:rPr>
                <w:sz w:val="14"/>
              </w:rPr>
              <w:t>Domain disposition</w:t>
            </w:r>
          </w:p>
        </w:tc>
      </w:tr>
      <w:tr>
        <w:tc>
          <w:tcPr>
            <w:tcW w:type="dxa" w:w="2160"/>
            <w:shd w:fill="F4F7FA"/>
          </w:tcPr>
          <w:p>
            <w:r>
              <w:rPr>
                <w:sz w:val="14"/>
              </w:rPr>
              <w:t>OT/security SME</w:t>
            </w:r>
          </w:p>
        </w:tc>
        <w:tc>
          <w:tcPr>
            <w:tcW w:type="dxa" w:w="2160"/>
            <w:shd w:fill="F4F7FA"/>
          </w:tcPr>
          <w:p>
            <w:r>
              <w:rPr>
                <w:sz w:val="14"/>
              </w:rPr>
              <w:t>CG-07 and CG-15</w:t>
            </w:r>
          </w:p>
        </w:tc>
        <w:tc>
          <w:tcPr>
            <w:tcW w:type="dxa" w:w="2160"/>
            <w:shd w:fill="F4F7FA"/>
          </w:tcPr>
          <w:p>
            <w:r>
              <w:rPr>
                <w:sz w:val="14"/>
              </w:rPr>
              <w:t>Pending</w:t>
            </w:r>
          </w:p>
        </w:tc>
        <w:tc>
          <w:tcPr>
            <w:tcW w:type="dxa" w:w="2160"/>
            <w:shd w:fill="F4F7FA"/>
          </w:tcPr>
          <w:p>
            <w:r>
              <w:rPr>
                <w:sz w:val="14"/>
              </w:rPr>
              <w:t>Domain disposition</w:t>
            </w:r>
          </w:p>
        </w:tc>
      </w:tr>
      <w:tr>
        <w:tc>
          <w:tcPr>
            <w:tcW w:type="dxa" w:w="2160"/>
          </w:tcPr>
          <w:p>
            <w:r>
              <w:rPr>
                <w:sz w:val="14"/>
              </w:rPr>
              <w:t>Evidence specialist</w:t>
            </w:r>
          </w:p>
        </w:tc>
        <w:tc>
          <w:tcPr>
            <w:tcW w:type="dxa" w:w="2160"/>
          </w:tcPr>
          <w:p>
            <w:r>
              <w:rPr>
                <w:sz w:val="14"/>
              </w:rPr>
              <w:t>CG-11 and CG-12 evidence floors</w:t>
            </w:r>
          </w:p>
        </w:tc>
        <w:tc>
          <w:tcPr>
            <w:tcW w:type="dxa" w:w="2160"/>
          </w:tcPr>
          <w:p>
            <w:r>
              <w:rPr>
                <w:sz w:val="14"/>
              </w:rPr>
              <w:t>Pending</w:t>
            </w:r>
          </w:p>
        </w:tc>
        <w:tc>
          <w:tcPr>
            <w:tcW w:type="dxa" w:w="2160"/>
          </w:tcPr>
          <w:p>
            <w:r>
              <w:rPr>
                <w:sz w:val="14"/>
              </w:rPr>
              <w:t>Domain disposition</w:t>
            </w:r>
          </w:p>
        </w:tc>
      </w:tr>
      <w:tr>
        <w:tc>
          <w:tcPr>
            <w:tcW w:type="dxa" w:w="2160"/>
            <w:shd w:fill="F4F7FA"/>
          </w:tcPr>
          <w:p>
            <w:r>
              <w:rPr>
                <w:sz w:val="14"/>
              </w:rPr>
              <w:t>Safety/legal reviewer</w:t>
            </w:r>
          </w:p>
        </w:tc>
        <w:tc>
          <w:tcPr>
            <w:tcW w:type="dxa" w:w="2160"/>
            <w:shd w:fill="F4F7FA"/>
          </w:tcPr>
          <w:p>
            <w:r>
              <w:rPr>
                <w:sz w:val="14"/>
              </w:rPr>
              <w:t>Safety and public-claim boundaries</w:t>
            </w:r>
          </w:p>
        </w:tc>
        <w:tc>
          <w:tcPr>
            <w:tcW w:type="dxa" w:w="2160"/>
            <w:shd w:fill="F4F7FA"/>
          </w:tcPr>
          <w:p>
            <w:r>
              <w:rPr>
                <w:sz w:val="14"/>
              </w:rPr>
              <w:t>Pending</w:t>
            </w:r>
          </w:p>
        </w:tc>
        <w:tc>
          <w:tcPr>
            <w:tcW w:type="dxa" w:w="2160"/>
            <w:shd w:fill="F4F7FA"/>
          </w:tcPr>
          <w:p>
            <w:r>
              <w:rPr>
                <w:sz w:val="14"/>
              </w:rPr>
              <w:t>Review memorandum</w:t>
            </w:r>
          </w:p>
        </w:tc>
      </w:tr>
    </w:tbl>
    <w:p/>
    <w:p>
      <w:r>
        <w:t>A gate becomes CANONICAL only when the required approvals are complete, unresolved objections are recorded and the resulting registry is versioned with an effective date. Author approval alone is insufficient for independent validation.</w:t>
      </w:r>
    </w:p>
    <w:p>
      <w:r>
        <w:br w:type="page"/>
      </w:r>
    </w:p>
    <w:p>
      <w:pPr>
        <w:pStyle w:val="Heading1"/>
      </w:pPr>
      <w:r>
        <w:t>34. Full derivation-record package</w:t>
      </w:r>
    </w:p>
    <w:p>
      <w:r>
        <w:t>The derivation package is the evidence needed to show how AIDCF was constructed. The table distinguishes records present conceptually from records that still require retrospective population or independent verification.</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7365D"/>
          </w:tcPr>
          <w:p>
            <w:r>
              <w:rPr>
                <w:b/>
                <w:color w:val="FFFFFF"/>
                <w:sz w:val="15"/>
              </w:rPr>
              <w:t>Record</w:t>
            </w:r>
          </w:p>
        </w:tc>
        <w:tc>
          <w:tcPr>
            <w:tcW w:type="dxa" w:w="2880"/>
            <w:shd w:fill="17365D"/>
          </w:tcPr>
          <w:p>
            <w:r>
              <w:rPr>
                <w:b/>
                <w:color w:val="FFFFFF"/>
                <w:sz w:val="15"/>
              </w:rPr>
              <w:t>Required contents</w:t>
            </w:r>
          </w:p>
        </w:tc>
        <w:tc>
          <w:tcPr>
            <w:tcW w:type="dxa" w:w="2880"/>
            <w:shd w:fill="17365D"/>
          </w:tcPr>
          <w:p>
            <w:r>
              <w:rPr>
                <w:b/>
                <w:color w:val="FFFFFF"/>
                <w:sz w:val="15"/>
              </w:rPr>
              <w:t>v3.0 state</w:t>
            </w:r>
          </w:p>
        </w:tc>
      </w:tr>
      <w:tr>
        <w:tc>
          <w:tcPr>
            <w:tcW w:type="dxa" w:w="2880"/>
          </w:tcPr>
          <w:p>
            <w:r>
              <w:rPr>
                <w:sz w:val="14"/>
              </w:rPr>
              <w:t>DR-01 Source register</w:t>
            </w:r>
          </w:p>
        </w:tc>
        <w:tc>
          <w:tcPr>
            <w:tcW w:type="dxa" w:w="2880"/>
          </w:tcPr>
          <w:p>
            <w:r>
              <w:rPr>
                <w:sz w:val="14"/>
              </w:rPr>
              <w:t>Title, publisher, edition, scope, access basis, inclusion rationale and extraction date.</w:t>
            </w:r>
          </w:p>
        </w:tc>
        <w:tc>
          <w:tcPr>
            <w:tcW w:type="dxa" w:w="2880"/>
          </w:tcPr>
          <w:p>
            <w:r>
              <w:rPr>
                <w:sz w:val="14"/>
              </w:rPr>
              <w:t>Partially populated in references; full register pending.</w:t>
            </w:r>
          </w:p>
        </w:tc>
      </w:tr>
      <w:tr>
        <w:tc>
          <w:tcPr>
            <w:tcW w:type="dxa" w:w="2880"/>
            <w:shd w:fill="F4F7FA"/>
          </w:tcPr>
          <w:p>
            <w:r>
              <w:rPr>
                <w:sz w:val="14"/>
              </w:rPr>
              <w:t>DR-02 Search protocol</w:t>
            </w:r>
          </w:p>
        </w:tc>
        <w:tc>
          <w:tcPr>
            <w:tcW w:type="dxa" w:w="2880"/>
            <w:shd w:fill="F4F7FA"/>
          </w:tcPr>
          <w:p>
            <w:r>
              <w:rPr>
                <w:sz w:val="14"/>
              </w:rPr>
              <w:t>Databases/sites, search strings, dates, inclusion/exclusion criteria and reviewer.</w:t>
            </w:r>
          </w:p>
        </w:tc>
        <w:tc>
          <w:tcPr>
            <w:tcW w:type="dxa" w:w="2880"/>
            <w:shd w:fill="F4F7FA"/>
          </w:tcPr>
          <w:p>
            <w:r>
              <w:rPr>
                <w:sz w:val="14"/>
              </w:rPr>
              <w:t>Specified below; execution log pending.</w:t>
            </w:r>
          </w:p>
        </w:tc>
      </w:tr>
      <w:tr>
        <w:tc>
          <w:tcPr>
            <w:tcW w:type="dxa" w:w="2880"/>
          </w:tcPr>
          <w:p>
            <w:r>
              <w:rPr>
                <w:sz w:val="14"/>
              </w:rPr>
              <w:t>DR-03 Concept extraction matrix</w:t>
            </w:r>
          </w:p>
        </w:tc>
        <w:tc>
          <w:tcPr>
            <w:tcW w:type="dxa" w:w="2880"/>
          </w:tcPr>
          <w:p>
            <w:r>
              <w:rPr>
                <w:sz w:val="14"/>
              </w:rPr>
              <w:t>Source passage, concept, class, property, relationship and analyst note.</w:t>
            </w:r>
          </w:p>
        </w:tc>
        <w:tc>
          <w:tcPr>
            <w:tcW w:type="dxa" w:w="2880"/>
          </w:tcPr>
          <w:p>
            <w:r>
              <w:rPr>
                <w:sz w:val="14"/>
              </w:rPr>
              <w:t>Template complete; population pending.</w:t>
            </w:r>
          </w:p>
        </w:tc>
      </w:tr>
      <w:tr>
        <w:tc>
          <w:tcPr>
            <w:tcW w:type="dxa" w:w="2880"/>
            <w:shd w:fill="F4F7FA"/>
          </w:tcPr>
          <w:p>
            <w:r>
              <w:rPr>
                <w:sz w:val="14"/>
              </w:rPr>
              <w:t>DR-04 Terminology log</w:t>
            </w:r>
          </w:p>
        </w:tc>
        <w:tc>
          <w:tcPr>
            <w:tcW w:type="dxa" w:w="2880"/>
            <w:shd w:fill="F4F7FA"/>
          </w:tcPr>
          <w:p>
            <w:r>
              <w:rPr>
                <w:sz w:val="14"/>
              </w:rPr>
              <w:t>Ambiguous term, alternatives, adopted meaning and rationale.</w:t>
            </w:r>
          </w:p>
        </w:tc>
        <w:tc>
          <w:tcPr>
            <w:tcW w:type="dxa" w:w="2880"/>
            <w:shd w:fill="F4F7FA"/>
          </w:tcPr>
          <w:p>
            <w:r>
              <w:rPr>
                <w:sz w:val="14"/>
              </w:rPr>
              <w:t>Core terminology populated; full decisions pending.</w:t>
            </w:r>
          </w:p>
        </w:tc>
      </w:tr>
      <w:tr>
        <w:tc>
          <w:tcPr>
            <w:tcW w:type="dxa" w:w="2880"/>
          </w:tcPr>
          <w:p>
            <w:r>
              <w:rPr>
                <w:sz w:val="14"/>
              </w:rPr>
              <w:t>DR-05 Domain cluster matrix</w:t>
            </w:r>
          </w:p>
        </w:tc>
        <w:tc>
          <w:tcPr>
            <w:tcW w:type="dxa" w:w="2880"/>
          </w:tcPr>
          <w:p>
            <w:r>
              <w:rPr>
                <w:sz w:val="14"/>
              </w:rPr>
              <w:t>Concept-to-domain mapping, rejected clusters and coverage test.</w:t>
            </w:r>
          </w:p>
        </w:tc>
        <w:tc>
          <w:tcPr>
            <w:tcW w:type="dxa" w:w="2880"/>
          </w:tcPr>
          <w:p>
            <w:r>
              <w:rPr>
                <w:sz w:val="14"/>
              </w:rPr>
              <w:t>High-level cluster rationale complete; detailed matrix pending.</w:t>
            </w:r>
          </w:p>
        </w:tc>
      </w:tr>
      <w:tr>
        <w:tc>
          <w:tcPr>
            <w:tcW w:type="dxa" w:w="2880"/>
            <w:shd w:fill="F4F7FA"/>
          </w:tcPr>
          <w:p>
            <w:r>
              <w:rPr>
                <w:sz w:val="14"/>
              </w:rPr>
              <w:t>DR-06 Control derivation register</w:t>
            </w:r>
          </w:p>
        </w:tc>
        <w:tc>
          <w:tcPr>
            <w:tcW w:type="dxa" w:w="2880"/>
            <w:shd w:fill="F4F7FA"/>
          </w:tcPr>
          <w:p>
            <w:r>
              <w:rPr>
                <w:sz w:val="14"/>
              </w:rPr>
              <w:t>Source need, objective, canonical control, duplicate review and evidence mapping.</w:t>
            </w:r>
          </w:p>
        </w:tc>
        <w:tc>
          <w:tcPr>
            <w:tcW w:type="dxa" w:w="2880"/>
            <w:shd w:fill="F4F7FA"/>
          </w:tcPr>
          <w:p>
            <w:r>
              <w:rPr>
                <w:sz w:val="14"/>
              </w:rPr>
              <w:t>Canonical registry exists; derivation evidence pending.</w:t>
            </w:r>
          </w:p>
        </w:tc>
      </w:tr>
      <w:tr>
        <w:tc>
          <w:tcPr>
            <w:tcW w:type="dxa" w:w="2880"/>
          </w:tcPr>
          <w:p>
            <w:r>
              <w:rPr>
                <w:sz w:val="14"/>
              </w:rPr>
              <w:t>DR-07 Gate derivation register</w:t>
            </w:r>
          </w:p>
        </w:tc>
        <w:tc>
          <w:tcPr>
            <w:tcW w:type="dxa" w:w="2880"/>
          </w:tcPr>
          <w:p>
            <w:r>
              <w:rPr>
                <w:sz w:val="14"/>
              </w:rPr>
              <w:t>Failure consequence, prerequisite, evidence floor and decision effect.</w:t>
            </w:r>
          </w:p>
        </w:tc>
        <w:tc>
          <w:tcPr>
            <w:tcW w:type="dxa" w:w="2880"/>
          </w:tcPr>
          <w:p>
            <w:r>
              <w:rPr>
                <w:sz w:val="14"/>
              </w:rPr>
              <w:t>Candidate package complete; approval pending.</w:t>
            </w:r>
          </w:p>
        </w:tc>
      </w:tr>
      <w:tr>
        <w:tc>
          <w:tcPr>
            <w:tcW w:type="dxa" w:w="2880"/>
            <w:shd w:fill="F4F7FA"/>
          </w:tcPr>
          <w:p>
            <w:r>
              <w:rPr>
                <w:sz w:val="14"/>
              </w:rPr>
              <w:t>DR-08 Reviewer register</w:t>
            </w:r>
          </w:p>
        </w:tc>
        <w:tc>
          <w:tcPr>
            <w:tcW w:type="dxa" w:w="2880"/>
            <w:shd w:fill="F4F7FA"/>
          </w:tcPr>
          <w:p>
            <w:r>
              <w:rPr>
                <w:sz w:val="14"/>
              </w:rPr>
              <w:t>Reviewer competence, independence, comments and dispositions.</w:t>
            </w:r>
          </w:p>
        </w:tc>
        <w:tc>
          <w:tcPr>
            <w:tcW w:type="dxa" w:w="2880"/>
            <w:shd w:fill="F4F7FA"/>
          </w:tcPr>
          <w:p>
            <w:r>
              <w:rPr>
                <w:sz w:val="14"/>
              </w:rPr>
              <w:t>Author dispositions complete; independent register pending.</w:t>
            </w:r>
          </w:p>
        </w:tc>
      </w:tr>
      <w:tr>
        <w:tc>
          <w:tcPr>
            <w:tcW w:type="dxa" w:w="2880"/>
          </w:tcPr>
          <w:p>
            <w:r>
              <w:rPr>
                <w:sz w:val="14"/>
              </w:rPr>
              <w:t>DR-09 Change and supersession log</w:t>
            </w:r>
          </w:p>
        </w:tc>
        <w:tc>
          <w:tcPr>
            <w:tcW w:type="dxa" w:w="2880"/>
          </w:tcPr>
          <w:p>
            <w:r>
              <w:rPr>
                <w:sz w:val="14"/>
              </w:rPr>
              <w:t>Changed object, reason, impact, version and migration.</w:t>
            </w:r>
          </w:p>
        </w:tc>
        <w:tc>
          <w:tcPr>
            <w:tcW w:type="dxa" w:w="2880"/>
          </w:tcPr>
          <w:p>
            <w:r>
              <w:rPr>
                <w:sz w:val="14"/>
              </w:rPr>
              <w:t>AIDCF-007A and AIDCF-015 migration evidence exists.</w:t>
            </w:r>
          </w:p>
        </w:tc>
      </w:tr>
      <w:tr>
        <w:tc>
          <w:tcPr>
            <w:tcW w:type="dxa" w:w="2880"/>
            <w:shd w:fill="F4F7FA"/>
          </w:tcPr>
          <w:p>
            <w:r>
              <w:rPr>
                <w:sz w:val="14"/>
              </w:rPr>
              <w:t>DR-10 Validation corpus</w:t>
            </w:r>
          </w:p>
        </w:tc>
        <w:tc>
          <w:tcPr>
            <w:tcW w:type="dxa" w:w="2880"/>
            <w:shd w:fill="F4F7FA"/>
          </w:tcPr>
          <w:p>
            <w:r>
              <w:rPr>
                <w:sz w:val="14"/>
              </w:rPr>
              <w:t>Positive, negative, anti-gaming and benchmark cases.</w:t>
            </w:r>
          </w:p>
        </w:tc>
        <w:tc>
          <w:tcPr>
            <w:tcW w:type="dxa" w:w="2880"/>
            <w:shd w:fill="F4F7FA"/>
          </w:tcPr>
          <w:p>
            <w:r>
              <w:rPr>
                <w:sz w:val="14"/>
              </w:rPr>
              <w:t>Synthetic fixtures exist; public corpus pending.</w:t>
            </w:r>
          </w:p>
        </w:tc>
      </w:tr>
    </w:tbl>
    <w:p/>
    <w:p>
      <w:pPr>
        <w:pStyle w:val="Heading2"/>
      </w:pPr>
      <w:r>
        <w:t>34.1 Search and inclusion protocol</w:t>
      </w:r>
    </w:p>
    <w:p>
      <w:pPr>
        <w:pStyle w:val="ListBullet"/>
      </w:pPr>
      <w:r>
        <w:t>Prioritise official standards bodies, public institutional guidance, peer-reviewed or established assurance literature and authoritative vendor-neutral technical bodies.</w:t>
      </w:r>
    </w:p>
    <w:p>
      <w:pPr>
        <w:pStyle w:val="ListBullet"/>
      </w:pPr>
      <w:r>
        <w:t>Record exact search terms, date executed, source URL or DOI, edition, access restriction and reviewer.</w:t>
      </w:r>
    </w:p>
    <w:p>
      <w:pPr>
        <w:pStyle w:val="ListBullet"/>
      </w:pPr>
      <w:r>
        <w:t>Include sources relevant to facilities, AI technology, OT/control systems, reliability, evidence, assurance arguments, provenance and machine validation.</w:t>
      </w:r>
    </w:p>
    <w:p>
      <w:pPr>
        <w:pStyle w:val="ListBullet"/>
      </w:pPr>
      <w:r>
        <w:t>Exclude unsupported marketing claims, unattributed summaries and sources whose scope cannot be established.</w:t>
      </w:r>
    </w:p>
    <w:p>
      <w:pPr>
        <w:pStyle w:val="ListBullet"/>
      </w:pPr>
      <w:r>
        <w:t>Treat paywalled normative standards through their accessible abstracts unless licensed full text is available. Do not imply clause-level comparison from public abstracts.</w:t>
      </w:r>
    </w:p>
    <w:p>
      <w:pPr>
        <w:pStyle w:val="Heading2"/>
      </w:pPr>
      <w:r>
        <w:t>34.2 Comparative analysis criteria</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Criterion</w:t>
            </w:r>
          </w:p>
        </w:tc>
        <w:tc>
          <w:tcPr>
            <w:tcW w:type="dxa" w:w="4320"/>
            <w:shd w:fill="17365D"/>
          </w:tcPr>
          <w:p>
            <w:r>
              <w:rPr>
                <w:b/>
                <w:color w:val="FFFFFF"/>
                <w:sz w:val="15"/>
              </w:rPr>
              <w:t>Question</w:t>
            </w:r>
          </w:p>
        </w:tc>
      </w:tr>
      <w:tr>
        <w:tc>
          <w:tcPr>
            <w:tcW w:type="dxa" w:w="4320"/>
          </w:tcPr>
          <w:p>
            <w:r>
              <w:rPr>
                <w:sz w:val="14"/>
              </w:rPr>
              <w:t>Subject</w:t>
            </w:r>
          </w:p>
        </w:tc>
        <w:tc>
          <w:tcPr>
            <w:tcW w:type="dxa" w:w="4320"/>
          </w:tcPr>
          <w:p>
            <w:r>
              <w:rPr>
                <w:sz w:val="14"/>
              </w:rPr>
              <w:t>What system or proposition is assessed?</w:t>
            </w:r>
          </w:p>
        </w:tc>
      </w:tr>
      <w:tr>
        <w:tc>
          <w:tcPr>
            <w:tcW w:type="dxa" w:w="4320"/>
            <w:shd w:fill="F4F7FA"/>
          </w:tcPr>
          <w:p>
            <w:r>
              <w:rPr>
                <w:sz w:val="14"/>
              </w:rPr>
              <w:t>Facility coverage</w:t>
            </w:r>
          </w:p>
        </w:tc>
        <w:tc>
          <w:tcPr>
            <w:tcW w:type="dxa" w:w="4320"/>
            <w:shd w:fill="F4F7FA"/>
          </w:tcPr>
          <w:p>
            <w:r>
              <w:rPr>
                <w:sz w:val="14"/>
              </w:rPr>
              <w:t>Are power, thermal, physical and environmental systems included?</w:t>
            </w:r>
          </w:p>
        </w:tc>
      </w:tr>
      <w:tr>
        <w:tc>
          <w:tcPr>
            <w:tcW w:type="dxa" w:w="4320"/>
          </w:tcPr>
          <w:p>
            <w:r>
              <w:rPr>
                <w:sz w:val="14"/>
              </w:rPr>
              <w:t>AI technology</w:t>
            </w:r>
          </w:p>
        </w:tc>
        <w:tc>
          <w:tcPr>
            <w:tcW w:type="dxa" w:w="4320"/>
          </w:tcPr>
          <w:p>
            <w:r>
              <w:rPr>
                <w:sz w:val="14"/>
              </w:rPr>
              <w:t>Are configured compute, storage, fabrics and orchestration included?</w:t>
            </w:r>
          </w:p>
        </w:tc>
      </w:tr>
      <w:tr>
        <w:tc>
          <w:tcPr>
            <w:tcW w:type="dxa" w:w="4320"/>
            <w:shd w:fill="F4F7FA"/>
          </w:tcPr>
          <w:p>
            <w:r>
              <w:rPr>
                <w:sz w:val="14"/>
              </w:rPr>
              <w:t>Operations</w:t>
            </w:r>
          </w:p>
        </w:tc>
        <w:tc>
          <w:tcPr>
            <w:tcW w:type="dxa" w:w="4320"/>
            <w:shd w:fill="F4F7FA"/>
          </w:tcPr>
          <w:p>
            <w:r>
              <w:rPr>
                <w:sz w:val="14"/>
              </w:rPr>
              <w:t>Are operating states, change and recovery addressed?</w:t>
            </w:r>
          </w:p>
        </w:tc>
      </w:tr>
      <w:tr>
        <w:tc>
          <w:tcPr>
            <w:tcW w:type="dxa" w:w="4320"/>
          </w:tcPr>
          <w:p>
            <w:r>
              <w:rPr>
                <w:sz w:val="14"/>
              </w:rPr>
              <w:t>Failure reasoning</w:t>
            </w:r>
          </w:p>
        </w:tc>
        <w:tc>
          <w:tcPr>
            <w:tcW w:type="dxa" w:w="4320"/>
          </w:tcPr>
          <w:p>
            <w:r>
              <w:rPr>
                <w:sz w:val="14"/>
              </w:rPr>
              <w:t>Are common modes and propagation explicit?</w:t>
            </w:r>
          </w:p>
        </w:tc>
      </w:tr>
      <w:tr>
        <w:tc>
          <w:tcPr>
            <w:tcW w:type="dxa" w:w="4320"/>
            <w:shd w:fill="F4F7FA"/>
          </w:tcPr>
          <w:p>
            <w:r>
              <w:rPr>
                <w:sz w:val="14"/>
              </w:rPr>
              <w:t>Evidence</w:t>
            </w:r>
          </w:p>
        </w:tc>
        <w:tc>
          <w:tcPr>
            <w:tcW w:type="dxa" w:w="4320"/>
            <w:shd w:fill="F4F7FA"/>
          </w:tcPr>
          <w:p>
            <w:r>
              <w:rPr>
                <w:sz w:val="14"/>
              </w:rPr>
              <w:t>Are provenance, freshness, coverage and sufficiency explicit?</w:t>
            </w:r>
          </w:p>
        </w:tc>
      </w:tr>
      <w:tr>
        <w:tc>
          <w:tcPr>
            <w:tcW w:type="dxa" w:w="4320"/>
          </w:tcPr>
          <w:p>
            <w:r>
              <w:rPr>
                <w:sz w:val="14"/>
              </w:rPr>
              <w:t>Uncertainty</w:t>
            </w:r>
          </w:p>
        </w:tc>
        <w:tc>
          <w:tcPr>
            <w:tcW w:type="dxa" w:w="4320"/>
          </w:tcPr>
          <w:p>
            <w:r>
              <w:rPr>
                <w:sz w:val="14"/>
              </w:rPr>
              <w:t>Can missing or conflicting evidence remain UNKNOWN?</w:t>
            </w:r>
          </w:p>
        </w:tc>
      </w:tr>
      <w:tr>
        <w:tc>
          <w:tcPr>
            <w:tcW w:type="dxa" w:w="4320"/>
            <w:shd w:fill="F4F7FA"/>
          </w:tcPr>
          <w:p>
            <w:r>
              <w:rPr>
                <w:sz w:val="14"/>
              </w:rPr>
              <w:t>Decision restraint</w:t>
            </w:r>
          </w:p>
        </w:tc>
        <w:tc>
          <w:tcPr>
            <w:tcW w:type="dxa" w:w="4320"/>
            <w:shd w:fill="F4F7FA"/>
          </w:tcPr>
          <w:p>
            <w:r>
              <w:rPr>
                <w:sz w:val="14"/>
              </w:rPr>
              <w:t>Can critical prerequisites override aggregate scores?</w:t>
            </w:r>
          </w:p>
        </w:tc>
      </w:tr>
      <w:tr>
        <w:tc>
          <w:tcPr>
            <w:tcW w:type="dxa" w:w="4320"/>
          </w:tcPr>
          <w:p>
            <w:r>
              <w:rPr>
                <w:sz w:val="14"/>
              </w:rPr>
              <w:t>Machine traceability</w:t>
            </w:r>
          </w:p>
        </w:tc>
        <w:tc>
          <w:tcPr>
            <w:tcW w:type="dxa" w:w="4320"/>
          </w:tcPr>
          <w:p>
            <w:r>
              <w:rPr>
                <w:sz w:val="14"/>
              </w:rPr>
              <w:t>Can conclusions be reconstructed and validated?</w:t>
            </w:r>
          </w:p>
        </w:tc>
      </w:tr>
      <w:tr>
        <w:tc>
          <w:tcPr>
            <w:tcW w:type="dxa" w:w="4320"/>
            <w:shd w:fill="F4F7FA"/>
          </w:tcPr>
          <w:p>
            <w:r>
              <w:rPr>
                <w:sz w:val="14"/>
              </w:rPr>
              <w:t>Authority</w:t>
            </w:r>
          </w:p>
        </w:tc>
        <w:tc>
          <w:tcPr>
            <w:tcW w:type="dxa" w:w="4320"/>
            <w:shd w:fill="F4F7FA"/>
          </w:tcPr>
          <w:p>
            <w:r>
              <w:rPr>
                <w:sz w:val="14"/>
              </w:rPr>
              <w:t>Who may issue, rely on, suspend or withdraw a conclusion?</w:t>
            </w:r>
          </w:p>
        </w:tc>
      </w:tr>
    </w:tbl>
    <w:p/>
    <w:p>
      <w:r>
        <w:br w:type="page"/>
      </w:r>
    </w:p>
    <w:p>
      <w:pPr>
        <w:pStyle w:val="Heading1"/>
      </w:pPr>
      <w:r>
        <w:t>35. Expanded related-work map</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fill="17365D"/>
          </w:tcPr>
          <w:p>
            <w:r>
              <w:rPr>
                <w:b/>
                <w:color w:val="FFFFFF"/>
                <w:sz w:val="15"/>
              </w:rPr>
              <w:t>Source family</w:t>
            </w:r>
          </w:p>
        </w:tc>
        <w:tc>
          <w:tcPr>
            <w:tcW w:type="dxa" w:w="2160"/>
            <w:shd w:fill="17365D"/>
          </w:tcPr>
          <w:p>
            <w:r>
              <w:rPr>
                <w:b/>
                <w:color w:val="FFFFFF"/>
                <w:sz w:val="15"/>
              </w:rPr>
              <w:t>Explicit public scope used</w:t>
            </w:r>
          </w:p>
        </w:tc>
        <w:tc>
          <w:tcPr>
            <w:tcW w:type="dxa" w:w="2160"/>
            <w:shd w:fill="17365D"/>
          </w:tcPr>
          <w:p>
            <w:r>
              <w:rPr>
                <w:b/>
                <w:color w:val="FFFFFF"/>
                <w:sz w:val="15"/>
              </w:rPr>
              <w:t>AIDCF interface</w:t>
            </w:r>
          </w:p>
        </w:tc>
        <w:tc>
          <w:tcPr>
            <w:tcW w:type="dxa" w:w="2160"/>
            <w:shd w:fill="17365D"/>
          </w:tcPr>
          <w:p>
            <w:r>
              <w:rPr>
                <w:b/>
                <w:color w:val="FFFFFF"/>
                <w:sz w:val="15"/>
              </w:rPr>
              <w:t>Review caveat</w:t>
            </w:r>
          </w:p>
        </w:tc>
      </w:tr>
      <w:tr>
        <w:tc>
          <w:tcPr>
            <w:tcW w:type="dxa" w:w="2160"/>
          </w:tcPr>
          <w:p>
            <w:r>
              <w:rPr>
                <w:sz w:val="14"/>
              </w:rPr>
              <w:t>ISO/IEC 22237 and EN 50600</w:t>
            </w:r>
          </w:p>
        </w:tc>
        <w:tc>
          <w:tcPr>
            <w:tcW w:type="dxa" w:w="2160"/>
          </w:tcPr>
          <w:p>
            <w:r>
              <w:rPr>
                <w:sz w:val="14"/>
              </w:rPr>
              <w:t>Data-centre facilities, infrastructure, availability, security, efficiency and management concepts.</w:t>
            </w:r>
          </w:p>
        </w:tc>
        <w:tc>
          <w:tcPr>
            <w:tcW w:type="dxa" w:w="2160"/>
          </w:tcPr>
          <w:p>
            <w:r>
              <w:rPr>
                <w:sz w:val="14"/>
              </w:rPr>
              <w:t>PHY, POW, THM, ENV, OPS and RES.</w:t>
            </w:r>
          </w:p>
        </w:tc>
        <w:tc>
          <w:tcPr>
            <w:tcW w:type="dxa" w:w="2160"/>
          </w:tcPr>
          <w:p>
            <w:r>
              <w:rPr>
                <w:sz w:val="14"/>
              </w:rPr>
              <w:t>No clause-level equivalence claimed.</w:t>
            </w:r>
          </w:p>
        </w:tc>
      </w:tr>
      <w:tr>
        <w:tc>
          <w:tcPr>
            <w:tcW w:type="dxa" w:w="2160"/>
            <w:shd w:fill="F4F7FA"/>
          </w:tcPr>
          <w:p>
            <w:r>
              <w:rPr>
                <w:sz w:val="14"/>
              </w:rPr>
              <w:t>ANSI/TIA-942-C</w:t>
            </w:r>
          </w:p>
        </w:tc>
        <w:tc>
          <w:tcPr>
            <w:tcW w:type="dxa" w:w="2160"/>
            <w:shd w:fill="F4F7FA"/>
          </w:tcPr>
          <w:p>
            <w:r>
              <w:rPr>
                <w:sz w:val="14"/>
              </w:rPr>
              <w:t>Telecommunications, power, cooling, architecture, fire protection, safety and physical security.</w:t>
            </w:r>
          </w:p>
        </w:tc>
        <w:tc>
          <w:tcPr>
            <w:tcW w:type="dxa" w:w="2160"/>
            <w:shd w:fill="F4F7FA"/>
          </w:tcPr>
          <w:p>
            <w:r>
              <w:rPr>
                <w:sz w:val="14"/>
              </w:rPr>
              <w:t>PHY, POW, THM and NET.</w:t>
            </w:r>
          </w:p>
        </w:tc>
        <w:tc>
          <w:tcPr>
            <w:tcW w:type="dxa" w:w="2160"/>
            <w:shd w:fill="F4F7FA"/>
          </w:tcPr>
          <w:p>
            <w:r>
              <w:rPr>
                <w:sz w:val="14"/>
              </w:rPr>
              <w:t>No TIA certification claim.</w:t>
            </w:r>
          </w:p>
        </w:tc>
      </w:tr>
      <w:tr>
        <w:tc>
          <w:tcPr>
            <w:tcW w:type="dxa" w:w="2160"/>
          </w:tcPr>
          <w:p>
            <w:r>
              <w:rPr>
                <w:sz w:val="14"/>
              </w:rPr>
              <w:t>Uptime Tier Topology</w:t>
            </w:r>
          </w:p>
        </w:tc>
        <w:tc>
          <w:tcPr>
            <w:tcW w:type="dxa" w:w="2160"/>
          </w:tcPr>
          <w:p>
            <w:r>
              <w:rPr>
                <w:sz w:val="14"/>
              </w:rPr>
              <w:t>Site-infrastructure capacity components and distribution paths across Tier classifications.</w:t>
            </w:r>
          </w:p>
        </w:tc>
        <w:tc>
          <w:tcPr>
            <w:tcW w:type="dxa" w:w="2160"/>
          </w:tcPr>
          <w:p>
            <w:r>
              <w:rPr>
                <w:sz w:val="14"/>
              </w:rPr>
              <w:t>POW, THM, PHY and OPS design evidence.</w:t>
            </w:r>
          </w:p>
        </w:tc>
        <w:tc>
          <w:tcPr>
            <w:tcW w:type="dxa" w:w="2160"/>
          </w:tcPr>
          <w:p>
            <w:r>
              <w:rPr>
                <w:sz w:val="14"/>
              </w:rPr>
              <w:t>Tier is not converted to capability assurance.</w:t>
            </w:r>
          </w:p>
        </w:tc>
      </w:tr>
      <w:tr>
        <w:tc>
          <w:tcPr>
            <w:tcW w:type="dxa" w:w="2160"/>
            <w:shd w:fill="F4F7FA"/>
          </w:tcPr>
          <w:p>
            <w:r>
              <w:rPr>
                <w:sz w:val="14"/>
              </w:rPr>
              <w:t>ISA/IEC 62443</w:t>
            </w:r>
          </w:p>
        </w:tc>
        <w:tc>
          <w:tcPr>
            <w:tcW w:type="dxa" w:w="2160"/>
            <w:shd w:fill="F4F7FA"/>
          </w:tcPr>
          <w:p>
            <w:r>
              <w:rPr>
                <w:sz w:val="14"/>
              </w:rPr>
              <w:t>Requirements and processes for electronically secure IACS across lifecycle, operations and technology.</w:t>
            </w:r>
          </w:p>
        </w:tc>
        <w:tc>
          <w:tcPr>
            <w:tcW w:type="dxa" w:w="2160"/>
            <w:shd w:fill="F4F7FA"/>
          </w:tcPr>
          <w:p>
            <w:r>
              <w:rPr>
                <w:sz w:val="14"/>
              </w:rPr>
              <w:t>SEC, OPS and SUP.</w:t>
            </w:r>
          </w:p>
        </w:tc>
        <w:tc>
          <w:tcPr>
            <w:tcW w:type="dxa" w:w="2160"/>
            <w:shd w:fill="F4F7FA"/>
          </w:tcPr>
          <w:p>
            <w:r>
              <w:rPr>
                <w:sz w:val="14"/>
              </w:rPr>
              <w:t>Cybersecurity proof does not establish facility resilience.</w:t>
            </w:r>
          </w:p>
        </w:tc>
      </w:tr>
      <w:tr>
        <w:tc>
          <w:tcPr>
            <w:tcW w:type="dxa" w:w="2160"/>
          </w:tcPr>
          <w:p>
            <w:r>
              <w:rPr>
                <w:sz w:val="14"/>
              </w:rPr>
              <w:t>NIST AI RMF</w:t>
            </w:r>
          </w:p>
        </w:tc>
        <w:tc>
          <w:tcPr>
            <w:tcW w:type="dxa" w:w="2160"/>
          </w:tcPr>
          <w:p>
            <w:r>
              <w:rPr>
                <w:sz w:val="14"/>
              </w:rPr>
              <w:t>Voluntary AI risk-management and trustworthiness functions.</w:t>
            </w:r>
          </w:p>
        </w:tc>
        <w:tc>
          <w:tcPr>
            <w:tcW w:type="dxa" w:w="2160"/>
          </w:tcPr>
          <w:p>
            <w:r>
              <w:rPr>
                <w:sz w:val="14"/>
              </w:rPr>
              <w:t>GOV, CAP, SEC and EVA linkage.</w:t>
            </w:r>
          </w:p>
        </w:tc>
        <w:tc>
          <w:tcPr>
            <w:tcW w:type="dxa" w:w="2160"/>
          </w:tcPr>
          <w:p>
            <w:r>
              <w:rPr>
                <w:sz w:val="14"/>
              </w:rPr>
              <w:t>AIDCF is complementary, not a NIST profile.</w:t>
            </w:r>
          </w:p>
        </w:tc>
      </w:tr>
      <w:tr>
        <w:tc>
          <w:tcPr>
            <w:tcW w:type="dxa" w:w="2160"/>
            <w:shd w:fill="F4F7FA"/>
          </w:tcPr>
          <w:p>
            <w:r>
              <w:rPr>
                <w:sz w:val="14"/>
              </w:rPr>
              <w:t>ASHRAE data-centre resources</w:t>
            </w:r>
          </w:p>
        </w:tc>
        <w:tc>
          <w:tcPr>
            <w:tcW w:type="dxa" w:w="2160"/>
            <w:shd w:fill="F4F7FA"/>
          </w:tcPr>
          <w:p>
            <w:r>
              <w:rPr>
                <w:sz w:val="14"/>
              </w:rPr>
              <w:t>Cooling, energy, environmental and technology-space design/operation guidance.</w:t>
            </w:r>
          </w:p>
        </w:tc>
        <w:tc>
          <w:tcPr>
            <w:tcW w:type="dxa" w:w="2160"/>
            <w:shd w:fill="F4F7FA"/>
          </w:tcPr>
          <w:p>
            <w:r>
              <w:rPr>
                <w:sz w:val="14"/>
              </w:rPr>
              <w:t>THM and ENV evidence.</w:t>
            </w:r>
          </w:p>
        </w:tc>
        <w:tc>
          <w:tcPr>
            <w:tcW w:type="dxa" w:w="2160"/>
            <w:shd w:fill="F4F7FA"/>
          </w:tcPr>
          <w:p>
            <w:r>
              <w:rPr>
                <w:sz w:val="14"/>
              </w:rPr>
              <w:t>Engineering criteria remain source-owned.</w:t>
            </w:r>
          </w:p>
        </w:tc>
      </w:tr>
      <w:tr>
        <w:tc>
          <w:tcPr>
            <w:tcW w:type="dxa" w:w="2160"/>
          </w:tcPr>
          <w:p>
            <w:r>
              <w:rPr>
                <w:sz w:val="14"/>
              </w:rPr>
              <w:t>Reliability and safety techniques</w:t>
            </w:r>
          </w:p>
        </w:tc>
        <w:tc>
          <w:tcPr>
            <w:tcW w:type="dxa" w:w="2160"/>
          </w:tcPr>
          <w:p>
            <w:r>
              <w:rPr>
                <w:sz w:val="14"/>
              </w:rPr>
              <w:t>FMEA/FMECA, fault trees, event trees, bow ties and structured hazard analysis.</w:t>
            </w:r>
          </w:p>
        </w:tc>
        <w:tc>
          <w:tcPr>
            <w:tcW w:type="dxa" w:w="2160"/>
          </w:tcPr>
          <w:p>
            <w:r>
              <w:rPr>
                <w:sz w:val="14"/>
              </w:rPr>
              <w:t>DEP, RES and engineering domains.</w:t>
            </w:r>
          </w:p>
        </w:tc>
        <w:tc>
          <w:tcPr>
            <w:tcW w:type="dxa" w:w="2160"/>
          </w:tcPr>
          <w:p>
            <w:r>
              <w:rPr>
                <w:sz w:val="14"/>
              </w:rPr>
              <w:t>Competent method use required.</w:t>
            </w:r>
          </w:p>
        </w:tc>
      </w:tr>
      <w:tr>
        <w:tc>
          <w:tcPr>
            <w:tcW w:type="dxa" w:w="2160"/>
            <w:shd w:fill="F4F7FA"/>
          </w:tcPr>
          <w:p>
            <w:r>
              <w:rPr>
                <w:sz w:val="14"/>
              </w:rPr>
              <w:t>Assurance-case methods</w:t>
            </w:r>
          </w:p>
        </w:tc>
        <w:tc>
          <w:tcPr>
            <w:tcW w:type="dxa" w:w="2160"/>
            <w:shd w:fill="F4F7FA"/>
          </w:tcPr>
          <w:p>
            <w:r>
              <w:rPr>
                <w:sz w:val="14"/>
              </w:rPr>
              <w:t>Structured claim, argument and evidence patterns.</w:t>
            </w:r>
          </w:p>
        </w:tc>
        <w:tc>
          <w:tcPr>
            <w:tcW w:type="dxa" w:w="2160"/>
            <w:shd w:fill="F4F7FA"/>
          </w:tcPr>
          <w:p>
            <w:r>
              <w:rPr>
                <w:sz w:val="14"/>
              </w:rPr>
              <w:t>AIDCF assurance graph and reporting.</w:t>
            </w:r>
          </w:p>
        </w:tc>
        <w:tc>
          <w:tcPr>
            <w:tcW w:type="dxa" w:w="2160"/>
            <w:shd w:fill="F4F7FA"/>
          </w:tcPr>
          <w:p>
            <w:r>
              <w:rPr>
                <w:sz w:val="14"/>
              </w:rPr>
              <w:t>Formal GSN mapping remains future work.</w:t>
            </w:r>
          </w:p>
        </w:tc>
      </w:tr>
      <w:tr>
        <w:tc>
          <w:tcPr>
            <w:tcW w:type="dxa" w:w="2160"/>
          </w:tcPr>
          <w:p>
            <w:r>
              <w:rPr>
                <w:sz w:val="14"/>
              </w:rPr>
              <w:t>W3C PROV-O and semantic standards</w:t>
            </w:r>
          </w:p>
        </w:tc>
        <w:tc>
          <w:tcPr>
            <w:tcW w:type="dxa" w:w="2160"/>
          </w:tcPr>
          <w:p>
            <w:r>
              <w:rPr>
                <w:sz w:val="14"/>
              </w:rPr>
              <w:t>Provenance and graph representation.</w:t>
            </w:r>
          </w:p>
        </w:tc>
        <w:tc>
          <w:tcPr>
            <w:tcW w:type="dxa" w:w="2160"/>
          </w:tcPr>
          <w:p>
            <w:r>
              <w:rPr>
                <w:sz w:val="14"/>
              </w:rPr>
              <w:t>Evidence lineage and machine exchange.</w:t>
            </w:r>
          </w:p>
        </w:tc>
        <w:tc>
          <w:tcPr>
            <w:tcW w:type="dxa" w:w="2160"/>
          </w:tcPr>
          <w:p>
            <w:r>
              <w:rPr>
                <w:sz w:val="14"/>
              </w:rPr>
              <w:t>Semantic conformance does not prove truth.</w:t>
            </w:r>
          </w:p>
        </w:tc>
      </w:tr>
      <w:tr>
        <w:tc>
          <w:tcPr>
            <w:tcW w:type="dxa" w:w="2160"/>
            <w:shd w:fill="F4F7FA"/>
          </w:tcPr>
          <w:p>
            <w:r>
              <w:rPr>
                <w:sz w:val="14"/>
              </w:rPr>
              <w:t>OCP and vendor AI reference architectures</w:t>
            </w:r>
          </w:p>
        </w:tc>
        <w:tc>
          <w:tcPr>
            <w:tcW w:type="dxa" w:w="2160"/>
            <w:shd w:fill="F4F7FA"/>
          </w:tcPr>
          <w:p>
            <w:r>
              <w:rPr>
                <w:sz w:val="14"/>
              </w:rPr>
              <w:t>Open or validated implementation patterns for AI infrastructure.</w:t>
            </w:r>
          </w:p>
        </w:tc>
        <w:tc>
          <w:tcPr>
            <w:tcW w:type="dxa" w:w="2160"/>
            <w:shd w:fill="F4F7FA"/>
          </w:tcPr>
          <w:p>
            <w:r>
              <w:rPr>
                <w:sz w:val="14"/>
              </w:rPr>
              <w:t>Architecture evidence and interface patterns.</w:t>
            </w:r>
          </w:p>
        </w:tc>
        <w:tc>
          <w:tcPr>
            <w:tcW w:type="dxa" w:w="2160"/>
            <w:shd w:fill="F4F7FA"/>
          </w:tcPr>
          <w:p>
            <w:r>
              <w:rPr>
                <w:sz w:val="14"/>
              </w:rPr>
              <w:t>Reference design does not prove site operation.</w:t>
            </w:r>
          </w:p>
        </w:tc>
      </w:tr>
    </w:tbl>
    <w:p/>
    <w:p>
      <w:r>
        <w:br w:type="page"/>
      </w:r>
    </w:p>
    <w:p>
      <w:pPr>
        <w:pStyle w:val="Heading1"/>
      </w:pPr>
      <w:r>
        <w:t>36. Control-universe completeness and symmetry test</w:t>
      </w:r>
    </w:p>
    <w:p>
      <w:r>
        <w:t>The 15/90/360 structure is an AIDCF-internal identity and cardinality baseline. Equal family and control counts are catalogue-design constraints supporting stable identity and machine processing. They are not evidence that all domains possess equal inherent complexity.</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7365D"/>
          </w:tcPr>
          <w:p>
            <w:r>
              <w:rPr>
                <w:b/>
                <w:color w:val="FFFFFF"/>
                <w:sz w:val="15"/>
              </w:rPr>
              <w:t>Test</w:t>
            </w:r>
          </w:p>
        </w:tc>
        <w:tc>
          <w:tcPr>
            <w:tcW w:type="dxa" w:w="2880"/>
            <w:shd w:fill="17365D"/>
          </w:tcPr>
          <w:p>
            <w:r>
              <w:rPr>
                <w:b/>
                <w:color w:val="FFFFFF"/>
                <w:sz w:val="15"/>
              </w:rPr>
              <w:t>Method</w:t>
            </w:r>
          </w:p>
        </w:tc>
        <w:tc>
          <w:tcPr>
            <w:tcW w:type="dxa" w:w="2880"/>
            <w:shd w:fill="17365D"/>
          </w:tcPr>
          <w:p>
            <w:r>
              <w:rPr>
                <w:b/>
                <w:color w:val="FFFFFF"/>
                <w:sz w:val="15"/>
              </w:rPr>
              <w:t>Acceptance</w:t>
            </w:r>
          </w:p>
        </w:tc>
      </w:tr>
      <w:tr>
        <w:tc>
          <w:tcPr>
            <w:tcW w:type="dxa" w:w="2880"/>
          </w:tcPr>
          <w:p>
            <w:r>
              <w:rPr>
                <w:sz w:val="14"/>
              </w:rPr>
              <w:t>External requirement coverage</w:t>
            </w:r>
          </w:p>
        </w:tc>
        <w:tc>
          <w:tcPr>
            <w:tcW w:type="dxa" w:w="2880"/>
          </w:tcPr>
          <w:p>
            <w:r>
              <w:rPr>
                <w:sz w:val="14"/>
              </w:rPr>
              <w:t>Map source requirements and concepts to domains/families/controls.</w:t>
            </w:r>
          </w:p>
        </w:tc>
        <w:tc>
          <w:tcPr>
            <w:tcW w:type="dxa" w:w="2880"/>
          </w:tcPr>
          <w:p>
            <w:r>
              <w:rPr>
                <w:sz w:val="14"/>
              </w:rPr>
              <w:t>No material orphan without documented exclusion.</w:t>
            </w:r>
          </w:p>
        </w:tc>
      </w:tr>
      <w:tr>
        <w:tc>
          <w:tcPr>
            <w:tcW w:type="dxa" w:w="2880"/>
            <w:shd w:fill="F4F7FA"/>
          </w:tcPr>
          <w:p>
            <w:r>
              <w:rPr>
                <w:sz w:val="14"/>
              </w:rPr>
              <w:t>Incident coverage</w:t>
            </w:r>
          </w:p>
        </w:tc>
        <w:tc>
          <w:tcPr>
            <w:tcW w:type="dxa" w:w="2880"/>
            <w:shd w:fill="F4F7FA"/>
          </w:tcPr>
          <w:p>
            <w:r>
              <w:rPr>
                <w:sz w:val="14"/>
              </w:rPr>
              <w:t>Map representative AI-infrastructure incidents and failure scenarios.</w:t>
            </w:r>
          </w:p>
        </w:tc>
        <w:tc>
          <w:tcPr>
            <w:tcW w:type="dxa" w:w="2880"/>
            <w:shd w:fill="F4F7FA"/>
          </w:tcPr>
          <w:p>
            <w:r>
              <w:rPr>
                <w:sz w:val="14"/>
              </w:rPr>
              <w:t>Every material path maps or triggers extension.</w:t>
            </w:r>
          </w:p>
        </w:tc>
      </w:tr>
      <w:tr>
        <w:tc>
          <w:tcPr>
            <w:tcW w:type="dxa" w:w="2880"/>
          </w:tcPr>
          <w:p>
            <w:r>
              <w:rPr>
                <w:sz w:val="14"/>
              </w:rPr>
              <w:t>Duplicate analysis</w:t>
            </w:r>
          </w:p>
        </w:tc>
        <w:tc>
          <w:tcPr>
            <w:tcW w:type="dxa" w:w="2880"/>
          </w:tcPr>
          <w:p>
            <w:r>
              <w:rPr>
                <w:sz w:val="14"/>
              </w:rPr>
              <w:t>Compare objectives, conditions, evidence and effects.</w:t>
            </w:r>
          </w:p>
        </w:tc>
        <w:tc>
          <w:tcPr>
            <w:tcW w:type="dxa" w:w="2880"/>
          </w:tcPr>
          <w:p>
            <w:r>
              <w:rPr>
                <w:sz w:val="14"/>
              </w:rPr>
              <w:t>Duplicates merged or differentiated explicitly.</w:t>
            </w:r>
          </w:p>
        </w:tc>
      </w:tr>
      <w:tr>
        <w:tc>
          <w:tcPr>
            <w:tcW w:type="dxa" w:w="2880"/>
            <w:shd w:fill="F4F7FA"/>
          </w:tcPr>
          <w:p>
            <w:r>
              <w:rPr>
                <w:sz w:val="14"/>
              </w:rPr>
              <w:t>Padding test</w:t>
            </w:r>
          </w:p>
        </w:tc>
        <w:tc>
          <w:tcPr>
            <w:tcW w:type="dxa" w:w="2880"/>
            <w:shd w:fill="F4F7FA"/>
          </w:tcPr>
          <w:p>
            <w:r>
              <w:rPr>
                <w:sz w:val="14"/>
              </w:rPr>
              <w:t>Challenge low-density families and generic control wording.</w:t>
            </w:r>
          </w:p>
        </w:tc>
        <w:tc>
          <w:tcPr>
            <w:tcW w:type="dxa" w:w="2880"/>
            <w:shd w:fill="F4F7FA"/>
          </w:tcPr>
          <w:p>
            <w:r>
              <w:rPr>
                <w:sz w:val="14"/>
              </w:rPr>
              <w:t>No control retained solely to satisfy cardinality.</w:t>
            </w:r>
          </w:p>
        </w:tc>
      </w:tr>
      <w:tr>
        <w:tc>
          <w:tcPr>
            <w:tcW w:type="dxa" w:w="2880"/>
          </w:tcPr>
          <w:p>
            <w:r>
              <w:rPr>
                <w:sz w:val="14"/>
              </w:rPr>
              <w:t>Compression test</w:t>
            </w:r>
          </w:p>
        </w:tc>
        <w:tc>
          <w:tcPr>
            <w:tcW w:type="dxa" w:w="2880"/>
          </w:tcPr>
          <w:p>
            <w:r>
              <w:rPr>
                <w:sz w:val="14"/>
              </w:rPr>
              <w:t>Challenge high-complexity domains for overloaded controls.</w:t>
            </w:r>
          </w:p>
        </w:tc>
        <w:tc>
          <w:tcPr>
            <w:tcW w:type="dxa" w:w="2880"/>
          </w:tcPr>
          <w:p>
            <w:r>
              <w:rPr>
                <w:sz w:val="14"/>
              </w:rPr>
              <w:t>Split when one control has materially distinct evidence and ownership.</w:t>
            </w:r>
          </w:p>
        </w:tc>
      </w:tr>
      <w:tr>
        <w:tc>
          <w:tcPr>
            <w:tcW w:type="dxa" w:w="2880"/>
            <w:shd w:fill="F4F7FA"/>
          </w:tcPr>
          <w:p>
            <w:r>
              <w:rPr>
                <w:sz w:val="14"/>
              </w:rPr>
              <w:t>Pilot orphan test</w:t>
            </w:r>
          </w:p>
        </w:tc>
        <w:tc>
          <w:tcPr>
            <w:tcW w:type="dxa" w:w="2880"/>
            <w:shd w:fill="F4F7FA"/>
          </w:tcPr>
          <w:p>
            <w:r>
              <w:rPr>
                <w:sz w:val="14"/>
              </w:rPr>
              <w:t>Record findings that cannot be classified.</w:t>
            </w:r>
          </w:p>
        </w:tc>
        <w:tc>
          <w:tcPr>
            <w:tcW w:type="dxa" w:w="2880"/>
            <w:shd w:fill="F4F7FA"/>
          </w:tcPr>
          <w:p>
            <w:r>
              <w:rPr>
                <w:sz w:val="14"/>
              </w:rPr>
              <w:t>Unmapped material finding creates change proposal.</w:t>
            </w:r>
          </w:p>
        </w:tc>
      </w:tr>
    </w:tbl>
    <w:p/>
    <w:p>
      <w:r>
        <w:br w:type="page"/>
      </w:r>
    </w:p>
    <w:p>
      <w:pPr>
        <w:pStyle w:val="Heading1"/>
      </w:pPr>
      <w:r>
        <w:t>37. Scoring re-performance specification</w:t>
      </w:r>
    </w:p>
    <w:p>
      <w:r>
        <w:t>AIDCF-010 states that raw and adjusted indicators, coverage, confidence, gate overlays and accountable decisions remain separate, and that scores do not create assurance. The whitepaper therefore defines a minimum re-performance record without inventing numeric weights not present in approved source evidence.</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Field</w:t>
            </w:r>
          </w:p>
        </w:tc>
        <w:tc>
          <w:tcPr>
            <w:tcW w:type="dxa" w:w="4320"/>
            <w:shd w:fill="17365D"/>
          </w:tcPr>
          <w:p>
            <w:r>
              <w:rPr>
                <w:b/>
                <w:color w:val="FFFFFF"/>
                <w:sz w:val="15"/>
              </w:rPr>
              <w:t>Required value</w:t>
            </w:r>
          </w:p>
        </w:tc>
      </w:tr>
      <w:tr>
        <w:tc>
          <w:tcPr>
            <w:tcW w:type="dxa" w:w="4320"/>
          </w:tcPr>
          <w:p>
            <w:r>
              <w:rPr>
                <w:sz w:val="14"/>
              </w:rPr>
              <w:t>Capability/profile</w:t>
            </w:r>
          </w:p>
        </w:tc>
        <w:tc>
          <w:tcPr>
            <w:tcW w:type="dxa" w:w="4320"/>
          </w:tcPr>
          <w:p>
            <w:r>
              <w:rPr>
                <w:sz w:val="14"/>
              </w:rPr>
              <w:t>Stable ID, version and applicable control set.</w:t>
            </w:r>
          </w:p>
        </w:tc>
      </w:tr>
      <w:tr>
        <w:tc>
          <w:tcPr>
            <w:tcW w:type="dxa" w:w="4320"/>
            <w:shd w:fill="F4F7FA"/>
          </w:tcPr>
          <w:p>
            <w:r>
              <w:rPr>
                <w:sz w:val="14"/>
              </w:rPr>
              <w:t>Control input</w:t>
            </w:r>
          </w:p>
        </w:tc>
        <w:tc>
          <w:tcPr>
            <w:tcW w:type="dxa" w:w="4320"/>
            <w:shd w:fill="F4F7FA"/>
          </w:tcPr>
          <w:p>
            <w:r>
              <w:rPr>
                <w:sz w:val="14"/>
              </w:rPr>
              <w:t>Dimension results, applicability, assessor and reviewer.</w:t>
            </w:r>
          </w:p>
        </w:tc>
      </w:tr>
      <w:tr>
        <w:tc>
          <w:tcPr>
            <w:tcW w:type="dxa" w:w="4320"/>
          </w:tcPr>
          <w:p>
            <w:r>
              <w:rPr>
                <w:sz w:val="14"/>
              </w:rPr>
              <w:t>Evidence overlay</w:t>
            </w:r>
          </w:p>
        </w:tc>
        <w:tc>
          <w:tcPr>
            <w:tcW w:type="dxa" w:w="4320"/>
          </w:tcPr>
          <w:p>
            <w:r>
              <w:rPr>
                <w:sz w:val="14"/>
              </w:rPr>
              <w:t>Evidence-quality index, sufficiency and confidence.</w:t>
            </w:r>
          </w:p>
        </w:tc>
      </w:tr>
      <w:tr>
        <w:tc>
          <w:tcPr>
            <w:tcW w:type="dxa" w:w="4320"/>
            <w:shd w:fill="F4F7FA"/>
          </w:tcPr>
          <w:p>
            <w:r>
              <w:rPr>
                <w:sz w:val="14"/>
              </w:rPr>
              <w:t>Coverage</w:t>
            </w:r>
          </w:p>
        </w:tc>
        <w:tc>
          <w:tcPr>
            <w:tcW w:type="dxa" w:w="4320"/>
            <w:shd w:fill="F4F7FA"/>
          </w:tcPr>
          <w:p>
            <w:r>
              <w:rPr>
                <w:sz w:val="14"/>
              </w:rPr>
              <w:t>Applicable, numerically assessed, UNKNOWN, not assessed and approved N/A.</w:t>
            </w:r>
          </w:p>
        </w:tc>
      </w:tr>
      <w:tr>
        <w:tc>
          <w:tcPr>
            <w:tcW w:type="dxa" w:w="4320"/>
          </w:tcPr>
          <w:p>
            <w:r>
              <w:rPr>
                <w:sz w:val="14"/>
              </w:rPr>
              <w:t>Formula version</w:t>
            </w:r>
          </w:p>
        </w:tc>
        <w:tc>
          <w:tcPr>
            <w:tcW w:type="dxa" w:w="4320"/>
          </w:tcPr>
          <w:p>
            <w:r>
              <w:rPr>
                <w:sz w:val="14"/>
              </w:rPr>
              <w:t>Exact configuration and weight set.</w:t>
            </w:r>
          </w:p>
        </w:tc>
      </w:tr>
      <w:tr>
        <w:tc>
          <w:tcPr>
            <w:tcW w:type="dxa" w:w="4320"/>
            <w:shd w:fill="F4F7FA"/>
          </w:tcPr>
          <w:p>
            <w:r>
              <w:rPr>
                <w:sz w:val="14"/>
              </w:rPr>
              <w:t>Raw indicator</w:t>
            </w:r>
          </w:p>
        </w:tc>
        <w:tc>
          <w:tcPr>
            <w:tcW w:type="dxa" w:w="4320"/>
            <w:shd w:fill="F4F7FA"/>
          </w:tcPr>
          <w:p>
            <w:r>
              <w:rPr>
                <w:sz w:val="14"/>
              </w:rPr>
              <w:t>Deterministic output before evidence/gate effects.</w:t>
            </w:r>
          </w:p>
        </w:tc>
      </w:tr>
      <w:tr>
        <w:tc>
          <w:tcPr>
            <w:tcW w:type="dxa" w:w="4320"/>
          </w:tcPr>
          <w:p>
            <w:r>
              <w:rPr>
                <w:sz w:val="14"/>
              </w:rPr>
              <w:t>Adjusted indicator</w:t>
            </w:r>
          </w:p>
        </w:tc>
        <w:tc>
          <w:tcPr>
            <w:tcW w:type="dxa" w:w="4320"/>
          </w:tcPr>
          <w:p>
            <w:r>
              <w:rPr>
                <w:sz w:val="14"/>
              </w:rPr>
              <w:t>Separately labelled output after declared evidence rule.</w:t>
            </w:r>
          </w:p>
        </w:tc>
      </w:tr>
      <w:tr>
        <w:tc>
          <w:tcPr>
            <w:tcW w:type="dxa" w:w="4320"/>
            <w:shd w:fill="F4F7FA"/>
          </w:tcPr>
          <w:p>
            <w:r>
              <w:rPr>
                <w:sz w:val="14"/>
              </w:rPr>
              <w:t>Gate overlay</w:t>
            </w:r>
          </w:p>
        </w:tc>
        <w:tc>
          <w:tcPr>
            <w:tcW w:type="dxa" w:w="4320"/>
            <w:shd w:fill="F4F7FA"/>
          </w:tcPr>
          <w:p>
            <w:r>
              <w:rPr>
                <w:sz w:val="14"/>
              </w:rPr>
              <w:t>All applicable gate states and controlling reasons.</w:t>
            </w:r>
          </w:p>
        </w:tc>
      </w:tr>
      <w:tr>
        <w:tc>
          <w:tcPr>
            <w:tcW w:type="dxa" w:w="4320"/>
          </w:tcPr>
          <w:p>
            <w:r>
              <w:rPr>
                <w:sz w:val="14"/>
              </w:rPr>
              <w:t>Recommendation</w:t>
            </w:r>
          </w:p>
        </w:tc>
        <w:tc>
          <w:tcPr>
            <w:tcW w:type="dxa" w:w="4320"/>
          </w:tcPr>
          <w:p>
            <w:r>
              <w:rPr>
                <w:sz w:val="14"/>
              </w:rPr>
              <w:t>Engine output with reasons.</w:t>
            </w:r>
          </w:p>
        </w:tc>
      </w:tr>
      <w:tr>
        <w:tc>
          <w:tcPr>
            <w:tcW w:type="dxa" w:w="4320"/>
            <w:shd w:fill="F4F7FA"/>
          </w:tcPr>
          <w:p>
            <w:r>
              <w:rPr>
                <w:sz w:val="14"/>
              </w:rPr>
              <w:t>Decision</w:t>
            </w:r>
          </w:p>
        </w:tc>
        <w:tc>
          <w:tcPr>
            <w:tcW w:type="dxa" w:w="4320"/>
            <w:shd w:fill="F4F7FA"/>
          </w:tcPr>
          <w:p>
            <w:r>
              <w:rPr>
                <w:sz w:val="14"/>
              </w:rPr>
              <w:t>Human authority, review, limitations, validity and triggers.</w:t>
            </w:r>
          </w:p>
        </w:tc>
      </w:tr>
      <w:tr>
        <w:tc>
          <w:tcPr>
            <w:tcW w:type="dxa" w:w="4320"/>
          </w:tcPr>
          <w:p>
            <w:r>
              <w:rPr>
                <w:sz w:val="14"/>
              </w:rPr>
              <w:t>Re-performance</w:t>
            </w:r>
          </w:p>
        </w:tc>
        <w:tc>
          <w:tcPr>
            <w:tcW w:type="dxa" w:w="4320"/>
          </w:tcPr>
          <w:p>
            <w:r>
              <w:rPr>
                <w:sz w:val="14"/>
              </w:rPr>
              <w:t>Input hash, tool version, output hash and independent result.</w:t>
            </w:r>
          </w:p>
        </w:tc>
      </w:tr>
    </w:tbl>
    <w:p/>
    <w:tbl>
      <w:tblPr>
        <w:tblW w:type="auto" w:w="0"/>
        <w:tblLook w:firstColumn="1" w:firstRow="1" w:lastColumn="0" w:lastRow="0" w:noHBand="0" w:noVBand="1" w:val="04A0"/>
      </w:tblPr>
      <w:tblGrid>
        <w:gridCol w:w="8640"/>
      </w:tblGrid>
      <w:tr>
        <w:tc>
          <w:tcPr>
            <w:tcW w:type="dxa" w:w="8640"/>
            <w:shd w:fill="FFF2CC"/>
          </w:tcPr>
          <w:p>
            <w:r>
              <w:rPr>
                <w:b/>
              </w:rPr>
              <w:t>Current evidence</w:t>
              <w:br/>
            </w:r>
            <w:r>
              <w:t>The synthetic package contains a score snapshot and deterministic score re-performance output, but v3.0 does not reproduce an exact numeric calculation because the necessary source values were not available in the retrieved excerpts. Fabricating weights or scores would violate the framework’s evidence doctrine.</w:t>
            </w:r>
          </w:p>
        </w:tc>
      </w:tr>
    </w:tbl>
    <w:p/>
    <w:p>
      <w:r>
        <w:br w:type="page"/>
      </w:r>
    </w:p>
    <w:p>
      <w:pPr>
        <w:pStyle w:val="Heading1"/>
      </w:pPr>
      <w:r>
        <w:t>38. Technical architecture viewpoints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7365D"/>
          </w:tcPr>
          <w:p>
            <w:r>
              <w:rPr>
                <w:b/>
                <w:color w:val="FFFFFF"/>
                <w:sz w:val="15"/>
              </w:rPr>
              <w:t>Viewpoint</w:t>
            </w:r>
          </w:p>
        </w:tc>
        <w:tc>
          <w:tcPr>
            <w:tcW w:type="dxa" w:w="2880"/>
            <w:shd w:fill="17365D"/>
          </w:tcPr>
          <w:p>
            <w:r>
              <w:rPr>
                <w:b/>
                <w:color w:val="FFFFFF"/>
                <w:sz w:val="15"/>
              </w:rPr>
              <w:t>Mandatory elements</w:t>
            </w:r>
          </w:p>
        </w:tc>
        <w:tc>
          <w:tcPr>
            <w:tcW w:type="dxa" w:w="2880"/>
            <w:shd w:fill="17365D"/>
          </w:tcPr>
          <w:p>
            <w:r>
              <w:rPr>
                <w:b/>
                <w:color w:val="FFFFFF"/>
                <w:sz w:val="15"/>
              </w:rPr>
              <w:t>Review question</w:t>
            </w:r>
          </w:p>
        </w:tc>
      </w:tr>
      <w:tr>
        <w:tc>
          <w:tcPr>
            <w:tcW w:type="dxa" w:w="2880"/>
          </w:tcPr>
          <w:p>
            <w:r>
              <w:rPr>
                <w:sz w:val="14"/>
              </w:rPr>
              <w:t>Service outcome</w:t>
            </w:r>
          </w:p>
        </w:tc>
        <w:tc>
          <w:tcPr>
            <w:tcW w:type="dxa" w:w="2880"/>
          </w:tcPr>
          <w:p>
            <w:r>
              <w:rPr>
                <w:sz w:val="14"/>
              </w:rPr>
              <w:t>Capability, users, outcomes, tolerances and criticality.</w:t>
            </w:r>
          </w:p>
        </w:tc>
        <w:tc>
          <w:tcPr>
            <w:tcW w:type="dxa" w:w="2880"/>
          </w:tcPr>
          <w:p>
            <w:r>
              <w:rPr>
                <w:sz w:val="14"/>
              </w:rPr>
              <w:t>What result must be protected?</w:t>
            </w:r>
          </w:p>
        </w:tc>
      </w:tr>
      <w:tr>
        <w:tc>
          <w:tcPr>
            <w:tcW w:type="dxa" w:w="2880"/>
            <w:shd w:fill="F4F7FA"/>
          </w:tcPr>
          <w:p>
            <w:r>
              <w:rPr>
                <w:sz w:val="14"/>
              </w:rPr>
              <w:t>Physical facility</w:t>
            </w:r>
          </w:p>
        </w:tc>
        <w:tc>
          <w:tcPr>
            <w:tcW w:type="dxa" w:w="2880"/>
            <w:shd w:fill="F4F7FA"/>
          </w:tcPr>
          <w:p>
            <w:r>
              <w:rPr>
                <w:sz w:val="14"/>
              </w:rPr>
              <w:t>Site, space, power, cooling, fluid, environment and physical routes.</w:t>
            </w:r>
          </w:p>
        </w:tc>
        <w:tc>
          <w:tcPr>
            <w:tcW w:type="dxa" w:w="2880"/>
            <w:shd w:fill="F4F7FA"/>
          </w:tcPr>
          <w:p>
            <w:r>
              <w:rPr>
                <w:sz w:val="14"/>
              </w:rPr>
              <w:t>What physical infrastructure enables the outcome?</w:t>
            </w:r>
          </w:p>
        </w:tc>
      </w:tr>
      <w:tr>
        <w:tc>
          <w:tcPr>
            <w:tcW w:type="dxa" w:w="2880"/>
          </w:tcPr>
          <w:p>
            <w:r>
              <w:rPr>
                <w:sz w:val="14"/>
              </w:rPr>
              <w:t>AI technology</w:t>
            </w:r>
          </w:p>
        </w:tc>
        <w:tc>
          <w:tcPr>
            <w:tcW w:type="dxa" w:w="2880"/>
          </w:tcPr>
          <w:p>
            <w:r>
              <w:rPr>
                <w:sz w:val="14"/>
              </w:rPr>
              <w:t>Compute, scheduler, storage, metadata, fabrics, gateways and management planes.</w:t>
            </w:r>
          </w:p>
        </w:tc>
        <w:tc>
          <w:tcPr>
            <w:tcW w:type="dxa" w:w="2880"/>
          </w:tcPr>
          <w:p>
            <w:r>
              <w:rPr>
                <w:sz w:val="14"/>
              </w:rPr>
              <w:t>What configured technology enables the outcome?</w:t>
            </w:r>
          </w:p>
        </w:tc>
      </w:tr>
      <w:tr>
        <w:tc>
          <w:tcPr>
            <w:tcW w:type="dxa" w:w="2880"/>
            <w:shd w:fill="F4F7FA"/>
          </w:tcPr>
          <w:p>
            <w:r>
              <w:rPr>
                <w:sz w:val="14"/>
              </w:rPr>
              <w:t>Authority</w:t>
            </w:r>
          </w:p>
        </w:tc>
        <w:tc>
          <w:tcPr>
            <w:tcW w:type="dxa" w:w="2880"/>
            <w:shd w:fill="F4F7FA"/>
          </w:tcPr>
          <w:p>
            <w:r>
              <w:rPr>
                <w:sz w:val="14"/>
              </w:rPr>
              <w:t>Identities, privileges, automation, remote support and emergency control.</w:t>
            </w:r>
          </w:p>
        </w:tc>
        <w:tc>
          <w:tcPr>
            <w:tcW w:type="dxa" w:w="2880"/>
            <w:shd w:fill="F4F7FA"/>
          </w:tcPr>
          <w:p>
            <w:r>
              <w:rPr>
                <w:sz w:val="14"/>
              </w:rPr>
              <w:t>Who or what can change the state?</w:t>
            </w:r>
          </w:p>
        </w:tc>
      </w:tr>
      <w:tr>
        <w:tc>
          <w:tcPr>
            <w:tcW w:type="dxa" w:w="2880"/>
          </w:tcPr>
          <w:p>
            <w:r>
              <w:rPr>
                <w:sz w:val="14"/>
              </w:rPr>
              <w:t>Dependency/fault domain</w:t>
            </w:r>
          </w:p>
        </w:tc>
        <w:tc>
          <w:tcPr>
            <w:tcW w:type="dxa" w:w="2880"/>
          </w:tcPr>
          <w:p>
            <w:r>
              <w:rPr>
                <w:sz w:val="14"/>
              </w:rPr>
              <w:t>Shared sources, controls, routes, people, suppliers and recovery resources.</w:t>
            </w:r>
          </w:p>
        </w:tc>
        <w:tc>
          <w:tcPr>
            <w:tcW w:type="dxa" w:w="2880"/>
          </w:tcPr>
          <w:p>
            <w:r>
              <w:rPr>
                <w:sz w:val="14"/>
              </w:rPr>
              <w:t>What can fail together?</w:t>
            </w:r>
          </w:p>
        </w:tc>
      </w:tr>
      <w:tr>
        <w:tc>
          <w:tcPr>
            <w:tcW w:type="dxa" w:w="2880"/>
            <w:shd w:fill="F4F7FA"/>
          </w:tcPr>
          <w:p>
            <w:r>
              <w:rPr>
                <w:sz w:val="14"/>
              </w:rPr>
              <w:t>Evidence</w:t>
            </w:r>
          </w:p>
        </w:tc>
        <w:tc>
          <w:tcPr>
            <w:tcW w:type="dxa" w:w="2880"/>
            <w:shd w:fill="F4F7FA"/>
          </w:tcPr>
          <w:p>
            <w:r>
              <w:rPr>
                <w:sz w:val="14"/>
              </w:rPr>
              <w:t>Telemetry, configuration, tests, documents, human evidence and independent evidence.</w:t>
            </w:r>
          </w:p>
        </w:tc>
        <w:tc>
          <w:tcPr>
            <w:tcW w:type="dxa" w:w="2880"/>
            <w:shd w:fill="F4F7FA"/>
          </w:tcPr>
          <w:p>
            <w:r>
              <w:rPr>
                <w:sz w:val="14"/>
              </w:rPr>
              <w:t>What proves each assertion?</w:t>
            </w:r>
          </w:p>
        </w:tc>
      </w:tr>
      <w:tr>
        <w:tc>
          <w:tcPr>
            <w:tcW w:type="dxa" w:w="2880"/>
          </w:tcPr>
          <w:p>
            <w:r>
              <w:rPr>
                <w:sz w:val="14"/>
              </w:rPr>
              <w:t>Failure and recovery</w:t>
            </w:r>
          </w:p>
        </w:tc>
        <w:tc>
          <w:tcPr>
            <w:tcW w:type="dxa" w:w="2880"/>
          </w:tcPr>
          <w:p>
            <w:r>
              <w:rPr>
                <w:sz w:val="14"/>
              </w:rPr>
              <w:t>Initiation, propagation, containment, recovery and residual path.</w:t>
            </w:r>
          </w:p>
        </w:tc>
        <w:tc>
          <w:tcPr>
            <w:tcW w:type="dxa" w:w="2880"/>
          </w:tcPr>
          <w:p>
            <w:r>
              <w:rPr>
                <w:sz w:val="14"/>
              </w:rPr>
              <w:t>How is the outcome lost and restored?</w:t>
            </w:r>
          </w:p>
        </w:tc>
      </w:tr>
      <w:tr>
        <w:tc>
          <w:tcPr>
            <w:tcW w:type="dxa" w:w="2880"/>
            <w:shd w:fill="F4F7FA"/>
          </w:tcPr>
          <w:p>
            <w:r>
              <w:rPr>
                <w:sz w:val="14"/>
              </w:rPr>
              <w:t>AITG handoff</w:t>
            </w:r>
          </w:p>
        </w:tc>
        <w:tc>
          <w:tcPr>
            <w:tcW w:type="dxa" w:w="2880"/>
            <w:shd w:fill="F4F7FA"/>
          </w:tcPr>
          <w:p>
            <w:r>
              <w:rPr>
                <w:sz w:val="14"/>
              </w:rPr>
              <w:t>Shared identity, boundary interface, trust/authority path and federated decision.</w:t>
            </w:r>
          </w:p>
        </w:tc>
        <w:tc>
          <w:tcPr>
            <w:tcW w:type="dxa" w:w="2880"/>
            <w:shd w:fill="F4F7FA"/>
          </w:tcPr>
          <w:p>
            <w:r>
              <w:rPr>
                <w:sz w:val="14"/>
              </w:rPr>
              <w:t>Where do infrastructure and AI trust reasoning meet?</w:t>
            </w:r>
          </w:p>
        </w:tc>
      </w:tr>
    </w:tbl>
    <w:p/>
    <w:p>
      <w:r>
        <w:br w:type="page"/>
      </w:r>
    </w:p>
    <w:p>
      <w:pPr>
        <w:pStyle w:val="Heading1"/>
      </w:pPr>
      <w:r>
        <w:t>39. Full scenario-record example</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Field</w:t>
            </w:r>
          </w:p>
        </w:tc>
        <w:tc>
          <w:tcPr>
            <w:tcW w:type="dxa" w:w="4320"/>
            <w:shd w:fill="17365D"/>
          </w:tcPr>
          <w:p>
            <w:r>
              <w:rPr>
                <w:b/>
                <w:color w:val="FFFFFF"/>
                <w:sz w:val="15"/>
              </w:rPr>
              <w:t>Synthetic example</w:t>
            </w:r>
          </w:p>
        </w:tc>
      </w:tr>
      <w:tr>
        <w:tc>
          <w:tcPr>
            <w:tcW w:type="dxa" w:w="4320"/>
          </w:tcPr>
          <w:p>
            <w:r>
              <w:rPr>
                <w:sz w:val="14"/>
              </w:rPr>
              <w:t>Scenario ID</w:t>
            </w:r>
          </w:p>
        </w:tc>
        <w:tc>
          <w:tcPr>
            <w:tcW w:type="dxa" w:w="4320"/>
          </w:tcPr>
          <w:p>
            <w:r>
              <w:rPr>
                <w:sz w:val="14"/>
              </w:rPr>
              <w:t>SCN-SYN-THM-001</w:t>
            </w:r>
          </w:p>
        </w:tc>
      </w:tr>
      <w:tr>
        <w:tc>
          <w:tcPr>
            <w:tcW w:type="dxa" w:w="4320"/>
            <w:shd w:fill="F4F7FA"/>
          </w:tcPr>
          <w:p>
            <w:r>
              <w:rPr>
                <w:sz w:val="14"/>
              </w:rPr>
              <w:t>Capability outcome</w:t>
            </w:r>
          </w:p>
        </w:tc>
        <w:tc>
          <w:tcPr>
            <w:tcW w:type="dxa" w:w="4320"/>
            <w:shd w:fill="F4F7FA"/>
          </w:tcPr>
          <w:p>
            <w:r>
              <w:rPr>
                <w:sz w:val="14"/>
              </w:rPr>
              <w:t>Distributed-training job completion and controlled thermal operation.</w:t>
            </w:r>
          </w:p>
        </w:tc>
      </w:tr>
      <w:tr>
        <w:tc>
          <w:tcPr>
            <w:tcW w:type="dxa" w:w="4320"/>
          </w:tcPr>
          <w:p>
            <w:r>
              <w:rPr>
                <w:sz w:val="14"/>
              </w:rPr>
              <w:t>Initiating condition</w:t>
            </w:r>
          </w:p>
        </w:tc>
        <w:tc>
          <w:tcPr>
            <w:tcW w:type="dxa" w:w="4320"/>
          </w:tcPr>
          <w:p>
            <w:r>
              <w:rPr>
                <w:sz w:val="14"/>
              </w:rPr>
              <w:t>Synthetic reduction in CDU flow.</w:t>
            </w:r>
          </w:p>
        </w:tc>
      </w:tr>
      <w:tr>
        <w:tc>
          <w:tcPr>
            <w:tcW w:type="dxa" w:w="4320"/>
            <w:shd w:fill="F4F7FA"/>
          </w:tcPr>
          <w:p>
            <w:r>
              <w:rPr>
                <w:sz w:val="14"/>
              </w:rPr>
              <w:t>Preconditions</w:t>
            </w:r>
          </w:p>
        </w:tc>
        <w:tc>
          <w:tcPr>
            <w:tcW w:type="dxa" w:w="4320"/>
            <w:shd w:fill="F4F7FA"/>
          </w:tcPr>
          <w:p>
            <w:r>
              <w:rPr>
                <w:sz w:val="14"/>
              </w:rPr>
              <w:t>Declared high-load training state and dependence on the affected loop.</w:t>
            </w:r>
          </w:p>
        </w:tc>
      </w:tr>
      <w:tr>
        <w:tc>
          <w:tcPr>
            <w:tcW w:type="dxa" w:w="4320"/>
          </w:tcPr>
          <w:p>
            <w:r>
              <w:rPr>
                <w:sz w:val="14"/>
              </w:rPr>
              <w:t>Local failure mode</w:t>
            </w:r>
          </w:p>
        </w:tc>
        <w:tc>
          <w:tcPr>
            <w:tcW w:type="dxa" w:w="4320"/>
          </w:tcPr>
          <w:p>
            <w:r>
              <w:rPr>
                <w:sz w:val="14"/>
              </w:rPr>
              <w:t>Reduced coolant flow at the synthetic cooling distribution unit.</w:t>
            </w:r>
          </w:p>
        </w:tc>
      </w:tr>
      <w:tr>
        <w:tc>
          <w:tcPr>
            <w:tcW w:type="dxa" w:w="4320"/>
            <w:shd w:fill="F4F7FA"/>
          </w:tcPr>
          <w:p>
            <w:r>
              <w:rPr>
                <w:sz w:val="14"/>
              </w:rPr>
              <w:t>Propagation</w:t>
            </w:r>
          </w:p>
        </w:tc>
        <w:tc>
          <w:tcPr>
            <w:tcW w:type="dxa" w:w="4320"/>
            <w:shd w:fill="F4F7FA"/>
          </w:tcPr>
          <w:p>
            <w:r>
              <w:rPr>
                <w:sz w:val="14"/>
              </w:rPr>
              <w:t>Temperature rise -&gt; accelerator throttling -&gt; collective delay -&gt; checkpoint exposure.</w:t>
            </w:r>
          </w:p>
        </w:tc>
      </w:tr>
      <w:tr>
        <w:tc>
          <w:tcPr>
            <w:tcW w:type="dxa" w:w="4320"/>
          </w:tcPr>
          <w:p>
            <w:r>
              <w:rPr>
                <w:sz w:val="14"/>
              </w:rPr>
              <w:t>Affected states</w:t>
            </w:r>
          </w:p>
        </w:tc>
        <w:tc>
          <w:tcPr>
            <w:tcW w:type="dxa" w:w="4320"/>
          </w:tcPr>
          <w:p>
            <w:r>
              <w:rPr>
                <w:sz w:val="14"/>
              </w:rPr>
              <w:t>Normal transitions to degraded; recovery path required.</w:t>
            </w:r>
          </w:p>
        </w:tc>
      </w:tr>
      <w:tr>
        <w:tc>
          <w:tcPr>
            <w:tcW w:type="dxa" w:w="4320"/>
            <w:shd w:fill="F4F7FA"/>
          </w:tcPr>
          <w:p>
            <w:r>
              <w:rPr>
                <w:sz w:val="14"/>
              </w:rPr>
              <w:t>Safeguards</w:t>
            </w:r>
          </w:p>
        </w:tc>
        <w:tc>
          <w:tcPr>
            <w:tcW w:type="dxa" w:w="4320"/>
            <w:shd w:fill="F4F7FA"/>
          </w:tcPr>
          <w:p>
            <w:r>
              <w:rPr>
                <w:sz w:val="14"/>
              </w:rPr>
              <w:t>Flow alarm, temperature telemetry, load reduction, isolation and recovery procedure.</w:t>
            </w:r>
          </w:p>
        </w:tc>
      </w:tr>
      <w:tr>
        <w:tc>
          <w:tcPr>
            <w:tcW w:type="dxa" w:w="4320"/>
          </w:tcPr>
          <w:p>
            <w:r>
              <w:rPr>
                <w:sz w:val="14"/>
              </w:rPr>
              <w:t>Safeguard dependencies</w:t>
            </w:r>
          </w:p>
        </w:tc>
        <w:tc>
          <w:tcPr>
            <w:tcW w:type="dxa" w:w="4320"/>
          </w:tcPr>
          <w:p>
            <w:r>
              <w:rPr>
                <w:sz w:val="14"/>
              </w:rPr>
              <w:t>Sensor integrity, management network, operator authority and alternate capacity.</w:t>
            </w:r>
          </w:p>
        </w:tc>
      </w:tr>
      <w:tr>
        <w:tc>
          <w:tcPr>
            <w:tcW w:type="dxa" w:w="4320"/>
            <w:shd w:fill="F4F7FA"/>
          </w:tcPr>
          <w:p>
            <w:r>
              <w:rPr>
                <w:sz w:val="14"/>
              </w:rPr>
              <w:t>Residual path</w:t>
            </w:r>
          </w:p>
        </w:tc>
        <w:tc>
          <w:tcPr>
            <w:tcW w:type="dxa" w:w="4320"/>
            <w:shd w:fill="F4F7FA"/>
          </w:tcPr>
          <w:p>
            <w:r>
              <w:rPr>
                <w:sz w:val="14"/>
              </w:rPr>
              <w:t>Common controller or insufficient alternate thermal capacity.</w:t>
            </w:r>
          </w:p>
        </w:tc>
      </w:tr>
      <w:tr>
        <w:tc>
          <w:tcPr>
            <w:tcW w:type="dxa" w:w="4320"/>
          </w:tcPr>
          <w:p>
            <w:r>
              <w:rPr>
                <w:sz w:val="14"/>
              </w:rPr>
              <w:t>Evidence requirements</w:t>
            </w:r>
          </w:p>
        </w:tc>
        <w:tc>
          <w:tcPr>
            <w:tcW w:type="dxa" w:w="4320"/>
          </w:tcPr>
          <w:p>
            <w:r>
              <w:rPr>
                <w:sz w:val="14"/>
              </w:rPr>
              <w:t>P&amp;ID, heat-load model, flow/temperature telemetry, alarms, operator record and authorised test.</w:t>
            </w:r>
          </w:p>
        </w:tc>
      </w:tr>
      <w:tr>
        <w:tc>
          <w:tcPr>
            <w:tcW w:type="dxa" w:w="4320"/>
            <w:shd w:fill="F4F7FA"/>
          </w:tcPr>
          <w:p>
            <w:r>
              <w:rPr>
                <w:sz w:val="14"/>
              </w:rPr>
              <w:t>Gate effects</w:t>
            </w:r>
          </w:p>
        </w:tc>
        <w:tc>
          <w:tcPr>
            <w:tcW w:type="dxa" w:w="4320"/>
            <w:shd w:fill="F4F7FA"/>
          </w:tcPr>
          <w:p>
            <w:r>
              <w:rPr>
                <w:sz w:val="14"/>
              </w:rPr>
              <w:t>CG-06, CG-08, CG-09 and CG-10.</w:t>
            </w:r>
          </w:p>
        </w:tc>
      </w:tr>
      <w:tr>
        <w:tc>
          <w:tcPr>
            <w:tcW w:type="dxa" w:w="4320"/>
          </w:tcPr>
          <w:p>
            <w:r>
              <w:rPr>
                <w:sz w:val="14"/>
              </w:rPr>
              <w:t>Safety boundary</w:t>
            </w:r>
          </w:p>
        </w:tc>
        <w:tc>
          <w:tcPr>
            <w:tcW w:type="dxa" w:w="4320"/>
          </w:tcPr>
          <w:p>
            <w:r>
              <w:rPr>
                <w:sz w:val="14"/>
              </w:rPr>
              <w:t>No live reduction or switching without explicit competent authorisation.</w:t>
            </w:r>
          </w:p>
        </w:tc>
      </w:tr>
      <w:tr>
        <w:tc>
          <w:tcPr>
            <w:tcW w:type="dxa" w:w="4320"/>
            <w:shd w:fill="F4F7FA"/>
          </w:tcPr>
          <w:p>
            <w:r>
              <w:rPr>
                <w:sz w:val="14"/>
              </w:rPr>
              <w:t>Reassessment trigger</w:t>
            </w:r>
          </w:p>
        </w:tc>
        <w:tc>
          <w:tcPr>
            <w:tcW w:type="dxa" w:w="4320"/>
            <w:shd w:fill="F4F7FA"/>
          </w:tcPr>
          <w:p>
            <w:r>
              <w:rPr>
                <w:sz w:val="14"/>
              </w:rPr>
              <w:t>Thermal design, firmware, load, provider, incident or evidence change.</w:t>
            </w:r>
          </w:p>
        </w:tc>
      </w:tr>
    </w:tbl>
    <w:p/>
    <w:p>
      <w:r>
        <w:br w:type="page"/>
      </w:r>
    </w:p>
    <w:p>
      <w:pPr>
        <w:pStyle w:val="Heading1"/>
      </w:pPr>
      <w:r>
        <w:t>40. Information-classification and disclosure model</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7365D"/>
          </w:tcPr>
          <w:p>
            <w:r>
              <w:rPr>
                <w:b/>
                <w:color w:val="FFFFFF"/>
                <w:sz w:val="15"/>
              </w:rPr>
              <w:t>Class</w:t>
            </w:r>
          </w:p>
        </w:tc>
        <w:tc>
          <w:tcPr>
            <w:tcW w:type="dxa" w:w="2880"/>
            <w:shd w:fill="17365D"/>
          </w:tcPr>
          <w:p>
            <w:r>
              <w:rPr>
                <w:b/>
                <w:color w:val="FFFFFF"/>
                <w:sz w:val="15"/>
              </w:rPr>
              <w:t>Permitted content</w:t>
            </w:r>
          </w:p>
        </w:tc>
        <w:tc>
          <w:tcPr>
            <w:tcW w:type="dxa" w:w="2880"/>
            <w:shd w:fill="17365D"/>
          </w:tcPr>
          <w:p>
            <w:r>
              <w:rPr>
                <w:b/>
                <w:color w:val="FFFFFF"/>
                <w:sz w:val="15"/>
              </w:rPr>
              <w:t>Restricted examples</w:t>
            </w:r>
          </w:p>
        </w:tc>
      </w:tr>
      <w:tr>
        <w:tc>
          <w:tcPr>
            <w:tcW w:type="dxa" w:w="2880"/>
          </w:tcPr>
          <w:p>
            <w:r>
              <w:rPr>
                <w:sz w:val="14"/>
              </w:rPr>
              <w:t>PUBLIC</w:t>
            </w:r>
          </w:p>
        </w:tc>
        <w:tc>
          <w:tcPr>
            <w:tcW w:type="dxa" w:w="2880"/>
          </w:tcPr>
          <w:p>
            <w:r>
              <w:rPr>
                <w:sz w:val="14"/>
              </w:rPr>
              <w:t>Framework concepts, synthetic examples, public references and aggregate validation status.</w:t>
            </w:r>
          </w:p>
        </w:tc>
        <w:tc>
          <w:tcPr>
            <w:tcW w:type="dxa" w:w="2880"/>
          </w:tcPr>
          <w:p>
            <w:r>
              <w:rPr>
                <w:sz w:val="14"/>
              </w:rPr>
              <w:t>No real site paths, credentials or exploitable weaknesses.</w:t>
            </w:r>
          </w:p>
        </w:tc>
      </w:tr>
      <w:tr>
        <w:tc>
          <w:tcPr>
            <w:tcW w:type="dxa" w:w="2880"/>
            <w:shd w:fill="F4F7FA"/>
          </w:tcPr>
          <w:p>
            <w:r>
              <w:rPr>
                <w:sz w:val="14"/>
              </w:rPr>
              <w:t>CONTROLLED</w:t>
            </w:r>
          </w:p>
        </w:tc>
        <w:tc>
          <w:tcPr>
            <w:tcW w:type="dxa" w:w="2880"/>
            <w:shd w:fill="F4F7FA"/>
          </w:tcPr>
          <w:p>
            <w:r>
              <w:rPr>
                <w:sz w:val="14"/>
              </w:rPr>
              <w:t>Detailed control mappings, reviewer comments and non-sensitive pilot summaries.</w:t>
            </w:r>
          </w:p>
        </w:tc>
        <w:tc>
          <w:tcPr>
            <w:tcW w:type="dxa" w:w="2880"/>
            <w:shd w:fill="F4F7FA"/>
          </w:tcPr>
          <w:p>
            <w:r>
              <w:rPr>
                <w:sz w:val="14"/>
              </w:rPr>
              <w:t>Distribution limited to authorised reviewers.</w:t>
            </w:r>
          </w:p>
        </w:tc>
      </w:tr>
      <w:tr>
        <w:tc>
          <w:tcPr>
            <w:tcW w:type="dxa" w:w="2880"/>
          </w:tcPr>
          <w:p>
            <w:r>
              <w:rPr>
                <w:sz w:val="14"/>
              </w:rPr>
              <w:t>CONFIDENTIAL</w:t>
            </w:r>
          </w:p>
        </w:tc>
        <w:tc>
          <w:tcPr>
            <w:tcW w:type="dxa" w:w="2880"/>
          </w:tcPr>
          <w:p>
            <w:r>
              <w:rPr>
                <w:sz w:val="14"/>
              </w:rPr>
              <w:t>Architecture, provider boundaries, evidence, findings and remediation.</w:t>
            </w:r>
          </w:p>
        </w:tc>
        <w:tc>
          <w:tcPr>
            <w:tcW w:type="dxa" w:w="2880"/>
          </w:tcPr>
          <w:p>
            <w:r>
              <w:rPr>
                <w:sz w:val="14"/>
              </w:rPr>
              <w:t>No public deposit.</w:t>
            </w:r>
          </w:p>
        </w:tc>
      </w:tr>
      <w:tr>
        <w:tc>
          <w:tcPr>
            <w:tcW w:type="dxa" w:w="2880"/>
            <w:shd w:fill="F4F7FA"/>
          </w:tcPr>
          <w:p>
            <w:r>
              <w:rPr>
                <w:sz w:val="14"/>
              </w:rPr>
              <w:t>HIGHLY RESTRICTED</w:t>
            </w:r>
          </w:p>
        </w:tc>
        <w:tc>
          <w:tcPr>
            <w:tcW w:type="dxa" w:w="2880"/>
            <w:shd w:fill="F4F7FA"/>
          </w:tcPr>
          <w:p>
            <w:r>
              <w:rPr>
                <w:sz w:val="14"/>
              </w:rPr>
              <w:t>Privileged paths, physical routes, emergency procedures, vulnerabilities and sensitive telemetry.</w:t>
            </w:r>
          </w:p>
        </w:tc>
        <w:tc>
          <w:tcPr>
            <w:tcW w:type="dxa" w:w="2880"/>
            <w:shd w:fill="F4F7FA"/>
          </w:tcPr>
          <w:p>
            <w:r>
              <w:rPr>
                <w:sz w:val="14"/>
              </w:rPr>
              <w:t>Need-to-know access and separate secure repository.</w:t>
            </w:r>
          </w:p>
        </w:tc>
      </w:tr>
    </w:tbl>
    <w:p/>
    <w:p>
      <w:pPr>
        <w:pStyle w:val="ListBullet"/>
      </w:pPr>
      <w:r>
        <w:t>Public reports may redact detail but must not hide decision limitations, material gate FAIL/UNKNOWN or scope restrictions.</w:t>
      </w:r>
    </w:p>
    <w:p>
      <w:pPr>
        <w:pStyle w:val="ListBullet"/>
      </w:pPr>
      <w:r>
        <w:t>Graph exports must filter restricted nodes, relationships and properties according to classification.</w:t>
      </w:r>
    </w:p>
    <w:p>
      <w:pPr>
        <w:pStyle w:val="ListBullet"/>
      </w:pPr>
      <w:r>
        <w:t>Evidence references should use controlled identifiers rather than embedding secrets or sensitive records.</w:t>
      </w:r>
    </w:p>
    <w:p>
      <w:pPr>
        <w:pStyle w:val="ListBullet"/>
      </w:pPr>
      <w:r>
        <w:t>Public benchmark cases must be synthetic or demonstrably authorised and anonymised.</w:t>
      </w:r>
    </w:p>
    <w:p>
      <w:r>
        <w:br w:type="page"/>
      </w:r>
    </w:p>
    <w:p>
      <w:pPr>
        <w:pStyle w:val="Heading1"/>
      </w:pPr>
      <w:r>
        <w:t>41. Independent review board charter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Element</w:t>
            </w:r>
          </w:p>
        </w:tc>
        <w:tc>
          <w:tcPr>
            <w:tcW w:type="dxa" w:w="4320"/>
            <w:shd w:fill="17365D"/>
          </w:tcPr>
          <w:p>
            <w:r>
              <w:rPr>
                <w:b/>
                <w:color w:val="FFFFFF"/>
                <w:sz w:val="15"/>
              </w:rPr>
              <w:t>Requirement</w:t>
            </w:r>
          </w:p>
        </w:tc>
      </w:tr>
      <w:tr>
        <w:tc>
          <w:tcPr>
            <w:tcW w:type="dxa" w:w="4320"/>
          </w:tcPr>
          <w:p>
            <w:r>
              <w:rPr>
                <w:sz w:val="14"/>
              </w:rPr>
              <w:t>Purpose</w:t>
            </w:r>
          </w:p>
        </w:tc>
        <w:tc>
          <w:tcPr>
            <w:tcW w:type="dxa" w:w="4320"/>
          </w:tcPr>
          <w:p>
            <w:r>
              <w:rPr>
                <w:sz w:val="14"/>
              </w:rPr>
              <w:t>Challenge technical adequacy, evidence doctrine, claims, safety, scoring, semantics and usability.</w:t>
            </w:r>
          </w:p>
        </w:tc>
      </w:tr>
      <w:tr>
        <w:tc>
          <w:tcPr>
            <w:tcW w:type="dxa" w:w="4320"/>
            <w:shd w:fill="F4F7FA"/>
          </w:tcPr>
          <w:p>
            <w:r>
              <w:rPr>
                <w:sz w:val="14"/>
              </w:rPr>
              <w:t>Independence</w:t>
            </w:r>
          </w:p>
        </w:tc>
        <w:tc>
          <w:tcPr>
            <w:tcW w:type="dxa" w:w="4320"/>
            <w:shd w:fill="F4F7FA"/>
          </w:tcPr>
          <w:p>
            <w:r>
              <w:rPr>
                <w:sz w:val="14"/>
              </w:rPr>
              <w:t>Reviewers disclose conflicts, prior design involvement and commercial interest.</w:t>
            </w:r>
          </w:p>
        </w:tc>
      </w:tr>
      <w:tr>
        <w:tc>
          <w:tcPr>
            <w:tcW w:type="dxa" w:w="4320"/>
          </w:tcPr>
          <w:p>
            <w:r>
              <w:rPr>
                <w:sz w:val="14"/>
              </w:rPr>
              <w:t>Competence</w:t>
            </w:r>
          </w:p>
        </w:tc>
        <w:tc>
          <w:tcPr>
            <w:tcW w:type="dxa" w:w="4320"/>
          </w:tcPr>
          <w:p>
            <w:r>
              <w:rPr>
                <w:sz w:val="14"/>
              </w:rPr>
              <w:t>Collective electrical, mechanical, AI/HPC, storage/network, operations, OT security, assurance, measurement, legal/safety and semantic-web competence.</w:t>
            </w:r>
          </w:p>
        </w:tc>
      </w:tr>
      <w:tr>
        <w:tc>
          <w:tcPr>
            <w:tcW w:type="dxa" w:w="4320"/>
            <w:shd w:fill="F4F7FA"/>
          </w:tcPr>
          <w:p>
            <w:r>
              <w:rPr>
                <w:sz w:val="14"/>
              </w:rPr>
              <w:t>Method</w:t>
            </w:r>
          </w:p>
        </w:tc>
        <w:tc>
          <w:tcPr>
            <w:tcW w:type="dxa" w:w="4320"/>
            <w:shd w:fill="F4F7FA"/>
          </w:tcPr>
          <w:p>
            <w:r>
              <w:rPr>
                <w:sz w:val="14"/>
              </w:rPr>
              <w:t>Issue-based review using severity, evidence, recommendation and disposition.</w:t>
            </w:r>
          </w:p>
        </w:tc>
      </w:tr>
      <w:tr>
        <w:tc>
          <w:tcPr>
            <w:tcW w:type="dxa" w:w="4320"/>
          </w:tcPr>
          <w:p>
            <w:r>
              <w:rPr>
                <w:sz w:val="14"/>
              </w:rPr>
              <w:t>Decision</w:t>
            </w:r>
          </w:p>
        </w:tc>
        <w:tc>
          <w:tcPr>
            <w:tcW w:type="dxa" w:w="4320"/>
          </w:tcPr>
          <w:p>
            <w:r>
              <w:rPr>
                <w:sz w:val="14"/>
              </w:rPr>
              <w:t>Accept, accept with condition, reject, or defer each material disposition.</w:t>
            </w:r>
          </w:p>
        </w:tc>
      </w:tr>
      <w:tr>
        <w:tc>
          <w:tcPr>
            <w:tcW w:type="dxa" w:w="4320"/>
            <w:shd w:fill="F4F7FA"/>
          </w:tcPr>
          <w:p>
            <w:r>
              <w:rPr>
                <w:sz w:val="14"/>
              </w:rPr>
              <w:t>Transparency</w:t>
            </w:r>
          </w:p>
        </w:tc>
        <w:tc>
          <w:tcPr>
            <w:tcW w:type="dxa" w:w="4320"/>
            <w:shd w:fill="F4F7FA"/>
          </w:tcPr>
          <w:p>
            <w:r>
              <w:rPr>
                <w:sz w:val="14"/>
              </w:rPr>
              <w:t>Publish non-sensitive comments and dispositions with reviewer consent.</w:t>
            </w:r>
          </w:p>
        </w:tc>
      </w:tr>
      <w:tr>
        <w:tc>
          <w:tcPr>
            <w:tcW w:type="dxa" w:w="4320"/>
          </w:tcPr>
          <w:p>
            <w:r>
              <w:rPr>
                <w:sz w:val="14"/>
              </w:rPr>
              <w:t>Authority</w:t>
            </w:r>
          </w:p>
        </w:tc>
        <w:tc>
          <w:tcPr>
            <w:tcW w:type="dxa" w:w="4320"/>
          </w:tcPr>
          <w:p>
            <w:r>
              <w:rPr>
                <w:sz w:val="14"/>
              </w:rPr>
              <w:t>Review board advises; framework governance approves releases.</w:t>
            </w:r>
          </w:p>
        </w:tc>
      </w:tr>
      <w:tr>
        <w:tc>
          <w:tcPr>
            <w:tcW w:type="dxa" w:w="4320"/>
            <w:shd w:fill="F4F7FA"/>
          </w:tcPr>
          <w:p>
            <w:r>
              <w:rPr>
                <w:sz w:val="14"/>
              </w:rPr>
              <w:t>Stop rule</w:t>
            </w:r>
          </w:p>
        </w:tc>
        <w:tc>
          <w:tcPr>
            <w:tcW w:type="dxa" w:w="4320"/>
            <w:shd w:fill="F4F7FA"/>
          </w:tcPr>
          <w:p>
            <w:r>
              <w:rPr>
                <w:sz w:val="14"/>
              </w:rPr>
              <w:t>Material unresolved safety, evidence-integrity or claim issue prevents final release.</w:t>
            </w:r>
          </w:p>
        </w:tc>
      </w:tr>
    </w:tbl>
    <w:p/>
    <w:p>
      <w:r>
        <w:br w:type="page"/>
      </w:r>
    </w:p>
    <w:p>
      <w:pPr>
        <w:pStyle w:val="Heading1"/>
      </w:pPr>
      <w:r>
        <w:t>42. Public review instructions and issue taxonomy</w:t>
      </w:r>
    </w:p>
    <w:p>
      <w:r>
        <w:t>A real public-review release must publish a review channel and dates in the repository or deposit metadata. Those details cannot be invented in this document and remain placeholders until selected by the author.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Issue type</w:t>
            </w:r>
          </w:p>
        </w:tc>
        <w:tc>
          <w:tcPr>
            <w:tcW w:type="dxa" w:w="4320"/>
            <w:shd w:fill="17365D"/>
          </w:tcPr>
          <w:p>
            <w:r>
              <w:rPr>
                <w:b/>
                <w:color w:val="FFFFFF"/>
                <w:sz w:val="15"/>
              </w:rPr>
              <w:t>Use</w:t>
            </w:r>
          </w:p>
        </w:tc>
      </w:tr>
      <w:tr>
        <w:tc>
          <w:tcPr>
            <w:tcW w:type="dxa" w:w="4320"/>
          </w:tcPr>
          <w:p>
            <w:r>
              <w:rPr>
                <w:sz w:val="14"/>
              </w:rPr>
              <w:t>TECH</w:t>
            </w:r>
          </w:p>
        </w:tc>
        <w:tc>
          <w:tcPr>
            <w:tcW w:type="dxa" w:w="4320"/>
          </w:tcPr>
          <w:p>
            <w:r>
              <w:rPr>
                <w:sz w:val="14"/>
              </w:rPr>
              <w:t>Technical validity, engineering or AI-infrastructure issue.</w:t>
            </w:r>
          </w:p>
        </w:tc>
      </w:tr>
      <w:tr>
        <w:tc>
          <w:tcPr>
            <w:tcW w:type="dxa" w:w="4320"/>
            <w:shd w:fill="F4F7FA"/>
          </w:tcPr>
          <w:p>
            <w:r>
              <w:rPr>
                <w:sz w:val="14"/>
              </w:rPr>
              <w:t>ASSUR</w:t>
            </w:r>
          </w:p>
        </w:tc>
        <w:tc>
          <w:tcPr>
            <w:tcW w:type="dxa" w:w="4320"/>
            <w:shd w:fill="F4F7FA"/>
          </w:tcPr>
          <w:p>
            <w:r>
              <w:rPr>
                <w:sz w:val="14"/>
              </w:rPr>
              <w:t>Evidence, assurance, gates, scoring or decision issue.</w:t>
            </w:r>
          </w:p>
        </w:tc>
      </w:tr>
      <w:tr>
        <w:tc>
          <w:tcPr>
            <w:tcW w:type="dxa" w:w="4320"/>
          </w:tcPr>
          <w:p>
            <w:r>
              <w:rPr>
                <w:sz w:val="14"/>
              </w:rPr>
              <w:t>SEM</w:t>
            </w:r>
          </w:p>
        </w:tc>
        <w:tc>
          <w:tcPr>
            <w:tcW w:type="dxa" w:w="4320"/>
          </w:tcPr>
          <w:p>
            <w:r>
              <w:rPr>
                <w:sz w:val="14"/>
              </w:rPr>
              <w:t>Ontology, graph, identity or machine-validation issue.</w:t>
            </w:r>
          </w:p>
        </w:tc>
      </w:tr>
      <w:tr>
        <w:tc>
          <w:tcPr>
            <w:tcW w:type="dxa" w:w="4320"/>
            <w:shd w:fill="F4F7FA"/>
          </w:tcPr>
          <w:p>
            <w:r>
              <w:rPr>
                <w:sz w:val="14"/>
              </w:rPr>
              <w:t>SAFE</w:t>
            </w:r>
          </w:p>
        </w:tc>
        <w:tc>
          <w:tcPr>
            <w:tcW w:type="dxa" w:w="4320"/>
            <w:shd w:fill="F4F7FA"/>
          </w:tcPr>
          <w:p>
            <w:r>
              <w:rPr>
                <w:sz w:val="14"/>
              </w:rPr>
              <w:t>Safety, legality, privacy or security-disclosure issue.</w:t>
            </w:r>
          </w:p>
        </w:tc>
      </w:tr>
      <w:tr>
        <w:tc>
          <w:tcPr>
            <w:tcW w:type="dxa" w:w="4320"/>
          </w:tcPr>
          <w:p>
            <w:r>
              <w:rPr>
                <w:sz w:val="14"/>
              </w:rPr>
              <w:t>ED</w:t>
            </w:r>
          </w:p>
        </w:tc>
        <w:tc>
          <w:tcPr>
            <w:tcW w:type="dxa" w:w="4320"/>
          </w:tcPr>
          <w:p>
            <w:r>
              <w:rPr>
                <w:sz w:val="14"/>
              </w:rPr>
              <w:t>Editorial, terminology or structure issue.</w:t>
            </w:r>
          </w:p>
        </w:tc>
      </w:tr>
      <w:tr>
        <w:tc>
          <w:tcPr>
            <w:tcW w:type="dxa" w:w="4320"/>
            <w:shd w:fill="F4F7FA"/>
          </w:tcPr>
          <w:p>
            <w:r>
              <w:rPr>
                <w:sz w:val="14"/>
              </w:rPr>
              <w:t>IMPL</w:t>
            </w:r>
          </w:p>
        </w:tc>
        <w:tc>
          <w:tcPr>
            <w:tcW w:type="dxa" w:w="4320"/>
            <w:shd w:fill="F4F7FA"/>
          </w:tcPr>
          <w:p>
            <w:r>
              <w:rPr>
                <w:sz w:val="14"/>
              </w:rPr>
              <w:t>Implementation, tooling or interoperability issue.</w:t>
            </w:r>
          </w:p>
        </w:tc>
      </w:tr>
      <w:tr>
        <w:tc>
          <w:tcPr>
            <w:tcW w:type="dxa" w:w="4320"/>
          </w:tcPr>
          <w:p>
            <w:r>
              <w:rPr>
                <w:sz w:val="14"/>
              </w:rPr>
              <w:t>PILOT</w:t>
            </w:r>
          </w:p>
        </w:tc>
        <w:tc>
          <w:tcPr>
            <w:tcW w:type="dxa" w:w="4320"/>
          </w:tcPr>
          <w:p>
            <w:r>
              <w:rPr>
                <w:sz w:val="14"/>
              </w:rPr>
              <w:t>Pilot design, feasibility or measurement issue.</w:t>
            </w:r>
          </w:p>
        </w:tc>
      </w:tr>
    </w:tbl>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Required comment field</w:t>
            </w:r>
          </w:p>
        </w:tc>
        <w:tc>
          <w:tcPr>
            <w:tcW w:type="dxa" w:w="4320"/>
            <w:shd w:fill="17365D"/>
          </w:tcPr>
          <w:p>
            <w:r>
              <w:rPr>
                <w:b/>
                <w:color w:val="FFFFFF"/>
                <w:sz w:val="15"/>
              </w:rPr>
              <w:t>Content</w:t>
            </w:r>
          </w:p>
        </w:tc>
      </w:tr>
      <w:tr>
        <w:tc>
          <w:tcPr>
            <w:tcW w:type="dxa" w:w="4320"/>
          </w:tcPr>
          <w:p>
            <w:r>
              <w:rPr>
                <w:sz w:val="14"/>
              </w:rPr>
              <w:t>Comment ID</w:t>
            </w:r>
          </w:p>
        </w:tc>
        <w:tc>
          <w:tcPr>
            <w:tcW w:type="dxa" w:w="4320"/>
          </w:tcPr>
          <w:p>
            <w:r>
              <w:rPr>
                <w:sz w:val="14"/>
              </w:rPr>
              <w:t>Stable identifier.</w:t>
            </w:r>
          </w:p>
        </w:tc>
      </w:tr>
      <w:tr>
        <w:tc>
          <w:tcPr>
            <w:tcW w:type="dxa" w:w="4320"/>
            <w:shd w:fill="F4F7FA"/>
          </w:tcPr>
          <w:p>
            <w:r>
              <w:rPr>
                <w:sz w:val="14"/>
              </w:rPr>
              <w:t>Section/object</w:t>
            </w:r>
          </w:p>
        </w:tc>
        <w:tc>
          <w:tcPr>
            <w:tcW w:type="dxa" w:w="4320"/>
            <w:shd w:fill="F4F7FA"/>
          </w:tcPr>
          <w:p>
            <w:r>
              <w:rPr>
                <w:sz w:val="14"/>
              </w:rPr>
              <w:t>Exact artifact version and location.</w:t>
            </w:r>
          </w:p>
        </w:tc>
      </w:tr>
      <w:tr>
        <w:tc>
          <w:tcPr>
            <w:tcW w:type="dxa" w:w="4320"/>
          </w:tcPr>
          <w:p>
            <w:r>
              <w:rPr>
                <w:sz w:val="14"/>
              </w:rPr>
              <w:t>Issue</w:t>
            </w:r>
          </w:p>
        </w:tc>
        <w:tc>
          <w:tcPr>
            <w:tcW w:type="dxa" w:w="4320"/>
          </w:tcPr>
          <w:p>
            <w:r>
              <w:rPr>
                <w:sz w:val="14"/>
              </w:rPr>
              <w:t>Concise statement.</w:t>
            </w:r>
          </w:p>
        </w:tc>
      </w:tr>
      <w:tr>
        <w:tc>
          <w:tcPr>
            <w:tcW w:type="dxa" w:w="4320"/>
            <w:shd w:fill="F4F7FA"/>
          </w:tcPr>
          <w:p>
            <w:r>
              <w:rPr>
                <w:sz w:val="14"/>
              </w:rPr>
              <w:t>Evidence</w:t>
            </w:r>
          </w:p>
        </w:tc>
        <w:tc>
          <w:tcPr>
            <w:tcW w:type="dxa" w:w="4320"/>
            <w:shd w:fill="F4F7FA"/>
          </w:tcPr>
          <w:p>
            <w:r>
              <w:rPr>
                <w:sz w:val="14"/>
              </w:rPr>
              <w:t>Source or reasoning.</w:t>
            </w:r>
          </w:p>
        </w:tc>
      </w:tr>
      <w:tr>
        <w:tc>
          <w:tcPr>
            <w:tcW w:type="dxa" w:w="4320"/>
          </w:tcPr>
          <w:p>
            <w:r>
              <w:rPr>
                <w:sz w:val="14"/>
              </w:rPr>
              <w:t>Severity</w:t>
            </w:r>
          </w:p>
        </w:tc>
        <w:tc>
          <w:tcPr>
            <w:tcW w:type="dxa" w:w="4320"/>
          </w:tcPr>
          <w:p>
            <w:r>
              <w:rPr>
                <w:sz w:val="14"/>
              </w:rPr>
              <w:t>Blocker, major, moderate or editorial.</w:t>
            </w:r>
          </w:p>
        </w:tc>
      </w:tr>
      <w:tr>
        <w:tc>
          <w:tcPr>
            <w:tcW w:type="dxa" w:w="4320"/>
            <w:shd w:fill="F4F7FA"/>
          </w:tcPr>
          <w:p>
            <w:r>
              <w:rPr>
                <w:sz w:val="14"/>
              </w:rPr>
              <w:t>Recommendation</w:t>
            </w:r>
          </w:p>
        </w:tc>
        <w:tc>
          <w:tcPr>
            <w:tcW w:type="dxa" w:w="4320"/>
            <w:shd w:fill="F4F7FA"/>
          </w:tcPr>
          <w:p>
            <w:r>
              <w:rPr>
                <w:sz w:val="14"/>
              </w:rPr>
              <w:t>Proposed change.</w:t>
            </w:r>
          </w:p>
        </w:tc>
      </w:tr>
      <w:tr>
        <w:tc>
          <w:tcPr>
            <w:tcW w:type="dxa" w:w="4320"/>
          </w:tcPr>
          <w:p>
            <w:r>
              <w:rPr>
                <w:sz w:val="14"/>
              </w:rPr>
              <w:t>Disposition</w:t>
            </w:r>
          </w:p>
        </w:tc>
        <w:tc>
          <w:tcPr>
            <w:tcW w:type="dxa" w:w="4320"/>
          </w:tcPr>
          <w:p>
            <w:r>
              <w:rPr>
                <w:sz w:val="14"/>
              </w:rPr>
              <w:t>Accept, partial, reject or defer with rationale.</w:t>
            </w:r>
          </w:p>
        </w:tc>
      </w:tr>
      <w:tr>
        <w:tc>
          <w:tcPr>
            <w:tcW w:type="dxa" w:w="4320"/>
            <w:shd w:fill="F4F7FA"/>
          </w:tcPr>
          <w:p>
            <w:r>
              <w:rPr>
                <w:sz w:val="14"/>
              </w:rPr>
              <w:t>Reviewer response</w:t>
            </w:r>
          </w:p>
        </w:tc>
        <w:tc>
          <w:tcPr>
            <w:tcW w:type="dxa" w:w="4320"/>
            <w:shd w:fill="F4F7FA"/>
          </w:tcPr>
          <w:p>
            <w:r>
              <w:rPr>
                <w:sz w:val="14"/>
              </w:rPr>
              <w:t>Acceptance or objection.</w:t>
            </w:r>
          </w:p>
        </w:tc>
      </w:tr>
      <w:tr>
        <w:tc>
          <w:tcPr>
            <w:tcW w:type="dxa" w:w="4320"/>
          </w:tcPr>
          <w:p>
            <w:r>
              <w:rPr>
                <w:sz w:val="14"/>
              </w:rPr>
              <w:t>Closure evidence</w:t>
            </w:r>
          </w:p>
        </w:tc>
        <w:tc>
          <w:tcPr>
            <w:tcW w:type="dxa" w:w="4320"/>
          </w:tcPr>
          <w:p>
            <w:r>
              <w:rPr>
                <w:sz w:val="14"/>
              </w:rPr>
              <w:t>Changed artifact, test or decision record.</w:t>
            </w:r>
          </w:p>
        </w:tc>
      </w:tr>
    </w:tbl>
    <w:p/>
    <w:p>
      <w:r>
        <w:br w:type="page"/>
      </w:r>
    </w:p>
    <w:p>
      <w:pPr>
        <w:pStyle w:val="Heading1"/>
      </w:pPr>
      <w:r>
        <w:t>43. Authorised pilot programme package</w:t>
      </w:r>
    </w:p>
    <w:p>
      <w:r>
        <w:t>The user requested at least one authorised pilot. No signed AIDCF pilot charter, named sponsor, authorised site or completed pilot result was found in the available AIDCF sources. Therefore v3.0 includes the complete pilot-authorisation and execution package but does not falsely claim that a real pilot has been authorised or completed.</w:t>
      </w:r>
    </w:p>
    <w:tbl>
      <w:tblPr>
        <w:tblW w:type="auto" w:w="0"/>
        <w:tblLook w:firstColumn="1" w:firstRow="1" w:lastColumn="0" w:lastRow="0" w:noHBand="0" w:noVBand="1" w:val="04A0"/>
      </w:tblPr>
      <w:tblGrid>
        <w:gridCol w:w="8640"/>
      </w:tblGrid>
      <w:tr>
        <w:tc>
          <w:tcPr>
            <w:tcW w:type="dxa" w:w="8640"/>
            <w:shd w:fill="FFF2CC"/>
          </w:tcPr>
          <w:p>
            <w:r>
              <w:rPr>
                <w:b/>
              </w:rPr>
              <w:t>Pilot status</w:t>
              <w:br/>
            </w:r>
            <w:r>
              <w:t>PILOT-001: NOT AUTHORISED / NOT EXECUTED. This is a controlled template and execution plan, not a pilot result.</w:t>
            </w:r>
          </w:p>
        </w:tc>
      </w:tr>
    </w:tbl>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Pilot field</w:t>
            </w:r>
          </w:p>
        </w:tc>
        <w:tc>
          <w:tcPr>
            <w:tcW w:type="dxa" w:w="4320"/>
            <w:shd w:fill="17365D"/>
          </w:tcPr>
          <w:p>
            <w:r>
              <w:rPr>
                <w:b/>
                <w:color w:val="FFFFFF"/>
                <w:sz w:val="15"/>
              </w:rPr>
              <w:t>Required content</w:t>
            </w:r>
          </w:p>
        </w:tc>
      </w:tr>
      <w:tr>
        <w:tc>
          <w:tcPr>
            <w:tcW w:type="dxa" w:w="4320"/>
          </w:tcPr>
          <w:p>
            <w:r>
              <w:rPr>
                <w:sz w:val="14"/>
              </w:rPr>
              <w:t>Pilot ID</w:t>
            </w:r>
          </w:p>
        </w:tc>
        <w:tc>
          <w:tcPr>
            <w:tcW w:type="dxa" w:w="4320"/>
          </w:tcPr>
          <w:p>
            <w:r>
              <w:rPr>
                <w:sz w:val="14"/>
              </w:rPr>
              <w:t>PILOT-001</w:t>
            </w:r>
          </w:p>
        </w:tc>
      </w:tr>
      <w:tr>
        <w:tc>
          <w:tcPr>
            <w:tcW w:type="dxa" w:w="4320"/>
            <w:shd w:fill="F4F7FA"/>
          </w:tcPr>
          <w:p>
            <w:r>
              <w:rPr>
                <w:sz w:val="14"/>
              </w:rPr>
              <w:t>Sponsor</w:t>
            </w:r>
          </w:p>
        </w:tc>
        <w:tc>
          <w:tcPr>
            <w:tcW w:type="dxa" w:w="4320"/>
            <w:shd w:fill="F4F7FA"/>
          </w:tcPr>
          <w:p>
            <w:r>
              <w:rPr>
                <w:sz w:val="14"/>
              </w:rPr>
              <w:t>Named accountable organisational sponsor.</w:t>
            </w:r>
          </w:p>
        </w:tc>
      </w:tr>
      <w:tr>
        <w:tc>
          <w:tcPr>
            <w:tcW w:type="dxa" w:w="4320"/>
          </w:tcPr>
          <w:p>
            <w:r>
              <w:rPr>
                <w:sz w:val="14"/>
              </w:rPr>
              <w:t>Capability owner</w:t>
            </w:r>
          </w:p>
        </w:tc>
        <w:tc>
          <w:tcPr>
            <w:tcW w:type="dxa" w:w="4320"/>
          </w:tcPr>
          <w:p>
            <w:r>
              <w:rPr>
                <w:sz w:val="14"/>
              </w:rPr>
              <w:t>Owner of the bounded AI Capability Instance.</w:t>
            </w:r>
          </w:p>
        </w:tc>
      </w:tr>
      <w:tr>
        <w:tc>
          <w:tcPr>
            <w:tcW w:type="dxa" w:w="4320"/>
            <w:shd w:fill="F4F7FA"/>
          </w:tcPr>
          <w:p>
            <w:r>
              <w:rPr>
                <w:sz w:val="14"/>
              </w:rPr>
              <w:t>Decision question</w:t>
            </w:r>
          </w:p>
        </w:tc>
        <w:tc>
          <w:tcPr>
            <w:tcW w:type="dxa" w:w="4320"/>
            <w:shd w:fill="F4F7FA"/>
          </w:tcPr>
          <w:p>
            <w:r>
              <w:rPr>
                <w:sz w:val="14"/>
              </w:rPr>
              <w:t>Exact intended decision and prohibited interpretation.</w:t>
            </w:r>
          </w:p>
        </w:tc>
      </w:tr>
      <w:tr>
        <w:tc>
          <w:tcPr>
            <w:tcW w:type="dxa" w:w="4320"/>
          </w:tcPr>
          <w:p>
            <w:r>
              <w:rPr>
                <w:sz w:val="14"/>
              </w:rPr>
              <w:t>Scope</w:t>
            </w:r>
          </w:p>
        </w:tc>
        <w:tc>
          <w:tcPr>
            <w:tcW w:type="dxa" w:w="4320"/>
          </w:tcPr>
          <w:p>
            <w:r>
              <w:rPr>
                <w:sz w:val="14"/>
              </w:rPr>
              <w:t>Physical, logical, organisational, provider and temporal boundary.</w:t>
            </w:r>
          </w:p>
        </w:tc>
      </w:tr>
      <w:tr>
        <w:tc>
          <w:tcPr>
            <w:tcW w:type="dxa" w:w="4320"/>
            <w:shd w:fill="F4F7FA"/>
          </w:tcPr>
          <w:p>
            <w:r>
              <w:rPr>
                <w:sz w:val="14"/>
              </w:rPr>
              <w:t>Operating states</w:t>
            </w:r>
          </w:p>
        </w:tc>
        <w:tc>
          <w:tcPr>
            <w:tcW w:type="dxa" w:w="4320"/>
            <w:shd w:fill="F4F7FA"/>
          </w:tcPr>
          <w:p>
            <w:r>
              <w:rPr>
                <w:sz w:val="14"/>
              </w:rPr>
              <w:t>Normal, maintenance, degraded, emergency, recovery and transition as applicable.</w:t>
            </w:r>
          </w:p>
        </w:tc>
      </w:tr>
      <w:tr>
        <w:tc>
          <w:tcPr>
            <w:tcW w:type="dxa" w:w="4320"/>
          </w:tcPr>
          <w:p>
            <w:r>
              <w:rPr>
                <w:sz w:val="14"/>
              </w:rPr>
              <w:t>Profile</w:t>
            </w:r>
          </w:p>
        </w:tc>
        <w:tc>
          <w:tcPr>
            <w:tcW w:type="dxa" w:w="4320"/>
          </w:tcPr>
          <w:p>
            <w:r>
              <w:rPr>
                <w:sz w:val="14"/>
              </w:rPr>
              <w:t>Control, gate, evidence and assurance-depth profile.</w:t>
            </w:r>
          </w:p>
        </w:tc>
      </w:tr>
      <w:tr>
        <w:tc>
          <w:tcPr>
            <w:tcW w:type="dxa" w:w="4320"/>
            <w:shd w:fill="F4F7FA"/>
          </w:tcPr>
          <w:p>
            <w:r>
              <w:rPr>
                <w:sz w:val="14"/>
              </w:rPr>
              <w:t>Authorisation</w:t>
            </w:r>
          </w:p>
        </w:tc>
        <w:tc>
          <w:tcPr>
            <w:tcW w:type="dxa" w:w="4320"/>
            <w:shd w:fill="F4F7FA"/>
          </w:tcPr>
          <w:p>
            <w:r>
              <w:rPr>
                <w:sz w:val="14"/>
              </w:rPr>
              <w:t>Signed scope, access, safety, testing and disclosure approval.</w:t>
            </w:r>
          </w:p>
        </w:tc>
      </w:tr>
      <w:tr>
        <w:tc>
          <w:tcPr>
            <w:tcW w:type="dxa" w:w="4320"/>
          </w:tcPr>
          <w:p>
            <w:r>
              <w:rPr>
                <w:sz w:val="14"/>
              </w:rPr>
              <w:t>Team</w:t>
            </w:r>
          </w:p>
        </w:tc>
        <w:tc>
          <w:tcPr>
            <w:tcW w:type="dxa" w:w="4320"/>
          </w:tcPr>
          <w:p>
            <w:r>
              <w:rPr>
                <w:sz w:val="14"/>
              </w:rPr>
              <w:t>Lead assessor, domain SMEs, evidence lead, independent reviewer and decision authority.</w:t>
            </w:r>
          </w:p>
        </w:tc>
      </w:tr>
      <w:tr>
        <w:tc>
          <w:tcPr>
            <w:tcW w:type="dxa" w:w="4320"/>
            <w:shd w:fill="F4F7FA"/>
          </w:tcPr>
          <w:p>
            <w:r>
              <w:rPr>
                <w:sz w:val="14"/>
              </w:rPr>
              <w:t>Data handling</w:t>
            </w:r>
          </w:p>
        </w:tc>
        <w:tc>
          <w:tcPr>
            <w:tcW w:type="dxa" w:w="4320"/>
            <w:shd w:fill="F4F7FA"/>
          </w:tcPr>
          <w:p>
            <w:r>
              <w:rPr>
                <w:sz w:val="14"/>
              </w:rPr>
              <w:t>Classification, retention, redaction and permitted publication.</w:t>
            </w:r>
          </w:p>
        </w:tc>
      </w:tr>
      <w:tr>
        <w:tc>
          <w:tcPr>
            <w:tcW w:type="dxa" w:w="4320"/>
          </w:tcPr>
          <w:p>
            <w:r>
              <w:rPr>
                <w:sz w:val="14"/>
              </w:rPr>
              <w:t>Stop criteria</w:t>
            </w:r>
          </w:p>
        </w:tc>
        <w:tc>
          <w:tcPr>
            <w:tcW w:type="dxa" w:w="4320"/>
          </w:tcPr>
          <w:p>
            <w:r>
              <w:rPr>
                <w:sz w:val="14"/>
              </w:rPr>
              <w:t>Unsafe condition, unresolved authority, source-integrity failure or scope breach.</w:t>
            </w:r>
          </w:p>
        </w:tc>
      </w:tr>
      <w:tr>
        <w:tc>
          <w:tcPr>
            <w:tcW w:type="dxa" w:w="4320"/>
            <w:shd w:fill="F4F7FA"/>
          </w:tcPr>
          <w:p>
            <w:r>
              <w:rPr>
                <w:sz w:val="14"/>
              </w:rPr>
              <w:t>Outputs</w:t>
            </w:r>
          </w:p>
        </w:tc>
        <w:tc>
          <w:tcPr>
            <w:tcW w:type="dxa" w:w="4320"/>
            <w:shd w:fill="F4F7FA"/>
          </w:tcPr>
          <w:p>
            <w:r>
              <w:rPr>
                <w:sz w:val="14"/>
              </w:rPr>
              <w:t>Charter, plan, evidence manifest, workpapers, gates, decision, report and lessons.</w:t>
            </w:r>
          </w:p>
        </w:tc>
      </w:tr>
    </w:tbl>
    <w:p/>
    <w:p>
      <w:pPr>
        <w:pStyle w:val="Heading2"/>
      </w:pPr>
      <w:r>
        <w:t>43.1 Pilot acceptance criteria</w:t>
      </w:r>
    </w:p>
    <w:p>
      <w:pPr>
        <w:pStyle w:val="ListBullet"/>
      </w:pPr>
      <w:r>
        <w:t>Every assessed assertion has a stable identity and evidence reference.</w:t>
      </w:r>
    </w:p>
    <w:p>
      <w:pPr>
        <w:pStyle w:val="ListBullet"/>
      </w:pPr>
      <w:r>
        <w:t>All applicable gates have completed workbooks and independent review.</w:t>
      </w:r>
    </w:p>
    <w:p>
      <w:pPr>
        <w:pStyle w:val="ListBullet"/>
      </w:pPr>
      <w:r>
        <w:t>UNKNOWN, exclusions, conflicts and inaccessible scope remain visible.</w:t>
      </w:r>
    </w:p>
    <w:p>
      <w:pPr>
        <w:pStyle w:val="ListBullet"/>
      </w:pPr>
      <w:r>
        <w:t>Coverage is calculated against the approved applicable profile.</w:t>
      </w:r>
    </w:p>
    <w:p>
      <w:pPr>
        <w:pStyle w:val="ListBullet"/>
      </w:pPr>
      <w:r>
        <w:t>No test exceeds written authority or competent engineering governance.</w:t>
      </w:r>
    </w:p>
    <w:p>
      <w:pPr>
        <w:pStyle w:val="ListBullet"/>
      </w:pPr>
      <w:r>
        <w:t>The issued decision is bounded by scope, states, period, evidence and intended users.</w:t>
      </w:r>
    </w:p>
    <w:p>
      <w:pPr>
        <w:pStyle w:val="ListBullet"/>
      </w:pPr>
      <w:r>
        <w:t>Any public case material has explicit disclosure approval.</w:t>
      </w:r>
    </w:p>
    <w:p>
      <w:r>
        <w:br w:type="page"/>
      </w:r>
    </w:p>
    <w:p>
      <w:pPr>
        <w:pStyle w:val="Heading1"/>
      </w:pPr>
      <w:r>
        <w:t>44. Pilot execution plan and measurement framework</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7365D"/>
          </w:tcPr>
          <w:p>
            <w:r>
              <w:rPr>
                <w:b/>
                <w:color w:val="FFFFFF"/>
                <w:sz w:val="15"/>
              </w:rPr>
              <w:t>Phase</w:t>
            </w:r>
          </w:p>
        </w:tc>
        <w:tc>
          <w:tcPr>
            <w:tcW w:type="dxa" w:w="2880"/>
            <w:shd w:fill="17365D"/>
          </w:tcPr>
          <w:p>
            <w:r>
              <w:rPr>
                <w:b/>
                <w:color w:val="FFFFFF"/>
                <w:sz w:val="15"/>
              </w:rPr>
              <w:t>Activity</w:t>
            </w:r>
          </w:p>
        </w:tc>
        <w:tc>
          <w:tcPr>
            <w:tcW w:type="dxa" w:w="2880"/>
            <w:shd w:fill="17365D"/>
          </w:tcPr>
          <w:p>
            <w:r>
              <w:rPr>
                <w:b/>
                <w:color w:val="FFFFFF"/>
                <w:sz w:val="15"/>
              </w:rPr>
              <w:t>Exit evidence</w:t>
            </w:r>
          </w:p>
        </w:tc>
      </w:tr>
      <w:tr>
        <w:tc>
          <w:tcPr>
            <w:tcW w:type="dxa" w:w="2880"/>
          </w:tcPr>
          <w:p>
            <w:r>
              <w:rPr>
                <w:sz w:val="14"/>
              </w:rPr>
              <w:t>Authorise</w:t>
            </w:r>
          </w:p>
        </w:tc>
        <w:tc>
          <w:tcPr>
            <w:tcW w:type="dxa" w:w="2880"/>
          </w:tcPr>
          <w:p>
            <w:r>
              <w:rPr>
                <w:sz w:val="14"/>
              </w:rPr>
              <w:t>Approve charter, roles, safety, access, data handling and publication.</w:t>
            </w:r>
          </w:p>
        </w:tc>
        <w:tc>
          <w:tcPr>
            <w:tcW w:type="dxa" w:w="2880"/>
          </w:tcPr>
          <w:p>
            <w:r>
              <w:rPr>
                <w:sz w:val="14"/>
              </w:rPr>
              <w:t>Signed pilot authorisation.</w:t>
            </w:r>
          </w:p>
        </w:tc>
      </w:tr>
      <w:tr>
        <w:tc>
          <w:tcPr>
            <w:tcW w:type="dxa" w:w="2880"/>
            <w:shd w:fill="F4F7FA"/>
          </w:tcPr>
          <w:p>
            <w:r>
              <w:rPr>
                <w:sz w:val="14"/>
              </w:rPr>
              <w:t>Profile</w:t>
            </w:r>
          </w:p>
        </w:tc>
        <w:tc>
          <w:tcPr>
            <w:tcW w:type="dxa" w:w="2880"/>
            <w:shd w:fill="F4F7FA"/>
          </w:tcPr>
          <w:p>
            <w:r>
              <w:rPr>
                <w:sz w:val="14"/>
              </w:rPr>
              <w:t>Define outcomes, architecture, boundaries, states, controls and gates.</w:t>
            </w:r>
          </w:p>
        </w:tc>
        <w:tc>
          <w:tcPr>
            <w:tcW w:type="dxa" w:w="2880"/>
            <w:shd w:fill="F4F7FA"/>
          </w:tcPr>
          <w:p>
            <w:r>
              <w:rPr>
                <w:sz w:val="14"/>
              </w:rPr>
              <w:t>Approved pilot profile.</w:t>
            </w:r>
          </w:p>
        </w:tc>
      </w:tr>
      <w:tr>
        <w:tc>
          <w:tcPr>
            <w:tcW w:type="dxa" w:w="2880"/>
          </w:tcPr>
          <w:p>
            <w:r>
              <w:rPr>
                <w:sz w:val="14"/>
              </w:rPr>
              <w:t>Plan</w:t>
            </w:r>
          </w:p>
        </w:tc>
        <w:tc>
          <w:tcPr>
            <w:tcW w:type="dxa" w:w="2880"/>
          </w:tcPr>
          <w:p>
            <w:r>
              <w:rPr>
                <w:sz w:val="14"/>
              </w:rPr>
              <w:t>Methods, samples, tests, reviewers and stop rules.</w:t>
            </w:r>
          </w:p>
        </w:tc>
        <w:tc>
          <w:tcPr>
            <w:tcW w:type="dxa" w:w="2880"/>
          </w:tcPr>
          <w:p>
            <w:r>
              <w:rPr>
                <w:sz w:val="14"/>
              </w:rPr>
              <w:t>Assessment plan.</w:t>
            </w:r>
          </w:p>
        </w:tc>
      </w:tr>
      <w:tr>
        <w:tc>
          <w:tcPr>
            <w:tcW w:type="dxa" w:w="2880"/>
            <w:shd w:fill="F4F7FA"/>
          </w:tcPr>
          <w:p>
            <w:r>
              <w:rPr>
                <w:sz w:val="14"/>
              </w:rPr>
              <w:t>Collect</w:t>
            </w:r>
          </w:p>
        </w:tc>
        <w:tc>
          <w:tcPr>
            <w:tcW w:type="dxa" w:w="2880"/>
            <w:shd w:fill="F4F7FA"/>
          </w:tcPr>
          <w:p>
            <w:r>
              <w:rPr>
                <w:sz w:val="14"/>
              </w:rPr>
              <w:t>Acquire evidence with provenance, integrity and restrictions.</w:t>
            </w:r>
          </w:p>
        </w:tc>
        <w:tc>
          <w:tcPr>
            <w:tcW w:type="dxa" w:w="2880"/>
            <w:shd w:fill="F4F7FA"/>
          </w:tcPr>
          <w:p>
            <w:r>
              <w:rPr>
                <w:sz w:val="14"/>
              </w:rPr>
              <w:t>Evidence manifest.</w:t>
            </w:r>
          </w:p>
        </w:tc>
      </w:tr>
      <w:tr>
        <w:tc>
          <w:tcPr>
            <w:tcW w:type="dxa" w:w="2880"/>
          </w:tcPr>
          <w:p>
            <w:r>
              <w:rPr>
                <w:sz w:val="14"/>
              </w:rPr>
              <w:t>Assess</w:t>
            </w:r>
          </w:p>
        </w:tc>
        <w:tc>
          <w:tcPr>
            <w:tcW w:type="dxa" w:w="2880"/>
          </w:tcPr>
          <w:p>
            <w:r>
              <w:rPr>
                <w:sz w:val="14"/>
              </w:rPr>
              <w:t>Execute control procedures and scenario analysis.</w:t>
            </w:r>
          </w:p>
        </w:tc>
        <w:tc>
          <w:tcPr>
            <w:tcW w:type="dxa" w:w="2880"/>
          </w:tcPr>
          <w:p>
            <w:r>
              <w:rPr>
                <w:sz w:val="14"/>
              </w:rPr>
              <w:t>Reviewed workpapers.</w:t>
            </w:r>
          </w:p>
        </w:tc>
      </w:tr>
      <w:tr>
        <w:tc>
          <w:tcPr>
            <w:tcW w:type="dxa" w:w="2880"/>
            <w:shd w:fill="F4F7FA"/>
          </w:tcPr>
          <w:p>
            <w:r>
              <w:rPr>
                <w:sz w:val="14"/>
              </w:rPr>
              <w:t>Gate and score</w:t>
            </w:r>
          </w:p>
        </w:tc>
        <w:tc>
          <w:tcPr>
            <w:tcW w:type="dxa" w:w="2880"/>
            <w:shd w:fill="F4F7FA"/>
          </w:tcPr>
          <w:p>
            <w:r>
              <w:rPr>
                <w:sz w:val="14"/>
              </w:rPr>
              <w:t>Evaluate gates and reproduce score.</w:t>
            </w:r>
          </w:p>
        </w:tc>
        <w:tc>
          <w:tcPr>
            <w:tcW w:type="dxa" w:w="2880"/>
            <w:shd w:fill="F4F7FA"/>
          </w:tcPr>
          <w:p>
            <w:r>
              <w:rPr>
                <w:sz w:val="14"/>
              </w:rPr>
              <w:t>Gate register and score snapshot.</w:t>
            </w:r>
          </w:p>
        </w:tc>
      </w:tr>
      <w:tr>
        <w:tc>
          <w:tcPr>
            <w:tcW w:type="dxa" w:w="2880"/>
          </w:tcPr>
          <w:p>
            <w:r>
              <w:rPr>
                <w:sz w:val="14"/>
              </w:rPr>
              <w:t>Decide</w:t>
            </w:r>
          </w:p>
        </w:tc>
        <w:tc>
          <w:tcPr>
            <w:tcW w:type="dxa" w:w="2880"/>
          </w:tcPr>
          <w:p>
            <w:r>
              <w:rPr>
                <w:sz w:val="14"/>
              </w:rPr>
              <w:t>Independent review and accountable decision.</w:t>
            </w:r>
          </w:p>
        </w:tc>
        <w:tc>
          <w:tcPr>
            <w:tcW w:type="dxa" w:w="2880"/>
          </w:tcPr>
          <w:p>
            <w:r>
              <w:rPr>
                <w:sz w:val="14"/>
              </w:rPr>
              <w:t>Signed bounded decision.</w:t>
            </w:r>
          </w:p>
        </w:tc>
      </w:tr>
      <w:tr>
        <w:tc>
          <w:tcPr>
            <w:tcW w:type="dxa" w:w="2880"/>
            <w:shd w:fill="F4F7FA"/>
          </w:tcPr>
          <w:p>
            <w:r>
              <w:rPr>
                <w:sz w:val="14"/>
              </w:rPr>
              <w:t>Report</w:t>
            </w:r>
          </w:p>
        </w:tc>
        <w:tc>
          <w:tcPr>
            <w:tcW w:type="dxa" w:w="2880"/>
            <w:shd w:fill="F4F7FA"/>
          </w:tcPr>
          <w:p>
            <w:r>
              <w:rPr>
                <w:sz w:val="14"/>
              </w:rPr>
              <w:t>Issue controlled reports and public summary if authorised.</w:t>
            </w:r>
          </w:p>
        </w:tc>
        <w:tc>
          <w:tcPr>
            <w:tcW w:type="dxa" w:w="2880"/>
            <w:shd w:fill="F4F7FA"/>
          </w:tcPr>
          <w:p>
            <w:r>
              <w:rPr>
                <w:sz w:val="14"/>
              </w:rPr>
              <w:t>Report package.</w:t>
            </w:r>
          </w:p>
        </w:tc>
      </w:tr>
      <w:tr>
        <w:tc>
          <w:tcPr>
            <w:tcW w:type="dxa" w:w="2880"/>
          </w:tcPr>
          <w:p>
            <w:r>
              <w:rPr>
                <w:sz w:val="14"/>
              </w:rPr>
              <w:t>Learn</w:t>
            </w:r>
          </w:p>
        </w:tc>
        <w:tc>
          <w:tcPr>
            <w:tcW w:type="dxa" w:w="2880"/>
          </w:tcPr>
          <w:p>
            <w:r>
              <w:rPr>
                <w:sz w:val="14"/>
              </w:rPr>
              <w:t>Record usability, disagreements, orphan findings and changes.</w:t>
            </w:r>
          </w:p>
        </w:tc>
        <w:tc>
          <w:tcPr>
            <w:tcW w:type="dxa" w:w="2880"/>
          </w:tcPr>
          <w:p>
            <w:r>
              <w:rPr>
                <w:sz w:val="14"/>
              </w:rPr>
              <w:t>Pilot lessons and change proposals.</w:t>
            </w:r>
          </w:p>
        </w:tc>
      </w:tr>
    </w:tbl>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Measure</w:t>
            </w:r>
          </w:p>
        </w:tc>
        <w:tc>
          <w:tcPr>
            <w:tcW w:type="dxa" w:w="4320"/>
            <w:shd w:fill="17365D"/>
          </w:tcPr>
          <w:p>
            <w:r>
              <w:rPr>
                <w:b/>
                <w:color w:val="FFFFFF"/>
                <w:sz w:val="15"/>
              </w:rPr>
              <w:t>Definition</w:t>
            </w:r>
          </w:p>
        </w:tc>
      </w:tr>
      <w:tr>
        <w:tc>
          <w:tcPr>
            <w:tcW w:type="dxa" w:w="4320"/>
          </w:tcPr>
          <w:p>
            <w:r>
              <w:rPr>
                <w:sz w:val="14"/>
              </w:rPr>
              <w:t>Scope agreement</w:t>
            </w:r>
          </w:p>
        </w:tc>
        <w:tc>
          <w:tcPr>
            <w:tcW w:type="dxa" w:w="4320"/>
          </w:tcPr>
          <w:p>
            <w:r>
              <w:rPr>
                <w:sz w:val="14"/>
              </w:rPr>
              <w:t>Inter-rater consistency in capability and boundary definition.</w:t>
            </w:r>
          </w:p>
        </w:tc>
      </w:tr>
      <w:tr>
        <w:tc>
          <w:tcPr>
            <w:tcW w:type="dxa" w:w="4320"/>
            <w:shd w:fill="F4F7FA"/>
          </w:tcPr>
          <w:p>
            <w:r>
              <w:rPr>
                <w:sz w:val="14"/>
              </w:rPr>
              <w:t>Trace completeness</w:t>
            </w:r>
          </w:p>
        </w:tc>
        <w:tc>
          <w:tcPr>
            <w:tcW w:type="dxa" w:w="4320"/>
            <w:shd w:fill="F4F7FA"/>
          </w:tcPr>
          <w:p>
            <w:r>
              <w:rPr>
                <w:sz w:val="14"/>
              </w:rPr>
              <w:t>Required chain links present and reverse-queryable.</w:t>
            </w:r>
          </w:p>
        </w:tc>
      </w:tr>
      <w:tr>
        <w:tc>
          <w:tcPr>
            <w:tcW w:type="dxa" w:w="4320"/>
          </w:tcPr>
          <w:p>
            <w:r>
              <w:rPr>
                <w:sz w:val="14"/>
              </w:rPr>
              <w:t>Evidence effort</w:t>
            </w:r>
          </w:p>
        </w:tc>
        <w:tc>
          <w:tcPr>
            <w:tcW w:type="dxa" w:w="4320"/>
          </w:tcPr>
          <w:p>
            <w:r>
              <w:rPr>
                <w:sz w:val="14"/>
              </w:rPr>
              <w:t>Effort to collect, validate and review evidence.</w:t>
            </w:r>
          </w:p>
        </w:tc>
      </w:tr>
      <w:tr>
        <w:tc>
          <w:tcPr>
            <w:tcW w:type="dxa" w:w="4320"/>
            <w:shd w:fill="F4F7FA"/>
          </w:tcPr>
          <w:p>
            <w:r>
              <w:rPr>
                <w:sz w:val="14"/>
              </w:rPr>
              <w:t>Gate agreement</w:t>
            </w:r>
          </w:p>
        </w:tc>
        <w:tc>
          <w:tcPr>
            <w:tcW w:type="dxa" w:w="4320"/>
            <w:shd w:fill="F4F7FA"/>
          </w:tcPr>
          <w:p>
            <w:r>
              <w:rPr>
                <w:sz w:val="14"/>
              </w:rPr>
              <w:t>Inter-rater gate-state agreement and disagreement causes.</w:t>
            </w:r>
          </w:p>
        </w:tc>
      </w:tr>
      <w:tr>
        <w:tc>
          <w:tcPr>
            <w:tcW w:type="dxa" w:w="4320"/>
          </w:tcPr>
          <w:p>
            <w:r>
              <w:rPr>
                <w:sz w:val="14"/>
              </w:rPr>
              <w:t>Control agreement</w:t>
            </w:r>
          </w:p>
        </w:tc>
        <w:tc>
          <w:tcPr>
            <w:tcW w:type="dxa" w:w="4320"/>
          </w:tcPr>
          <w:p>
            <w:r>
              <w:rPr>
                <w:sz w:val="14"/>
              </w:rPr>
              <w:t>Inter-rater control-result agreement.</w:t>
            </w:r>
          </w:p>
        </w:tc>
      </w:tr>
      <w:tr>
        <w:tc>
          <w:tcPr>
            <w:tcW w:type="dxa" w:w="4320"/>
            <w:shd w:fill="F4F7FA"/>
          </w:tcPr>
          <w:p>
            <w:r>
              <w:rPr>
                <w:sz w:val="14"/>
              </w:rPr>
              <w:t>Orphan findings</w:t>
            </w:r>
          </w:p>
        </w:tc>
        <w:tc>
          <w:tcPr>
            <w:tcW w:type="dxa" w:w="4320"/>
            <w:shd w:fill="F4F7FA"/>
          </w:tcPr>
          <w:p>
            <w:r>
              <w:rPr>
                <w:sz w:val="14"/>
              </w:rPr>
              <w:t>Material findings without a suitable domain/control mapping.</w:t>
            </w:r>
          </w:p>
        </w:tc>
      </w:tr>
      <w:tr>
        <w:tc>
          <w:tcPr>
            <w:tcW w:type="dxa" w:w="4320"/>
          </w:tcPr>
          <w:p>
            <w:r>
              <w:rPr>
                <w:sz w:val="14"/>
              </w:rPr>
              <w:t>Decision usefulness</w:t>
            </w:r>
          </w:p>
        </w:tc>
        <w:tc>
          <w:tcPr>
            <w:tcW w:type="dxa" w:w="4320"/>
          </w:tcPr>
          <w:p>
            <w:r>
              <w:rPr>
                <w:sz w:val="14"/>
              </w:rPr>
              <w:t>Named user assessment of relevance and clarity.</w:t>
            </w:r>
          </w:p>
        </w:tc>
      </w:tr>
      <w:tr>
        <w:tc>
          <w:tcPr>
            <w:tcW w:type="dxa" w:w="4320"/>
            <w:shd w:fill="F4F7FA"/>
          </w:tcPr>
          <w:p>
            <w:r>
              <w:rPr>
                <w:sz w:val="14"/>
              </w:rPr>
              <w:t>Economic signal</w:t>
            </w:r>
          </w:p>
        </w:tc>
        <w:tc>
          <w:tcPr>
            <w:tcW w:type="dxa" w:w="4320"/>
            <w:shd w:fill="F4F7FA"/>
          </w:tcPr>
          <w:p>
            <w:r>
              <w:rPr>
                <w:sz w:val="14"/>
              </w:rPr>
              <w:t>Observed accelerator-hours, interruption, recovery or evidence-friction measures where authorised.</w:t>
            </w:r>
          </w:p>
        </w:tc>
      </w:tr>
    </w:tbl>
    <w:p/>
    <w:p>
      <w:r>
        <w:br w:type="page"/>
      </w:r>
    </w:p>
    <w:p>
      <w:pPr>
        <w:pStyle w:val="Heading1"/>
      </w:pPr>
      <w:r>
        <w:t>45. Pilot authorisation and result record</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7365D"/>
          </w:tcPr>
          <w:p>
            <w:r>
              <w:rPr>
                <w:b/>
                <w:color w:val="FFFFFF"/>
                <w:sz w:val="15"/>
              </w:rPr>
              <w:t>Approval/result</w:t>
            </w:r>
          </w:p>
        </w:tc>
        <w:tc>
          <w:tcPr>
            <w:tcW w:type="dxa" w:w="2880"/>
            <w:shd w:fill="17365D"/>
          </w:tcPr>
          <w:p>
            <w:r>
              <w:rPr>
                <w:b/>
                <w:color w:val="FFFFFF"/>
                <w:sz w:val="15"/>
              </w:rPr>
              <w:t>Status</w:t>
            </w:r>
          </w:p>
        </w:tc>
        <w:tc>
          <w:tcPr>
            <w:tcW w:type="dxa" w:w="2880"/>
            <w:shd w:fill="17365D"/>
          </w:tcPr>
          <w:p>
            <w:r>
              <w:rPr>
                <w:b/>
                <w:color w:val="FFFFFF"/>
                <w:sz w:val="15"/>
              </w:rPr>
              <w:t>Required evidence</w:t>
            </w:r>
          </w:p>
        </w:tc>
      </w:tr>
      <w:tr>
        <w:tc>
          <w:tcPr>
            <w:tcW w:type="dxa" w:w="2880"/>
          </w:tcPr>
          <w:p>
            <w:r>
              <w:rPr>
                <w:sz w:val="14"/>
              </w:rPr>
              <w:t>Sponsor authorisation</w:t>
            </w:r>
          </w:p>
        </w:tc>
        <w:tc>
          <w:tcPr>
            <w:tcW w:type="dxa" w:w="2880"/>
          </w:tcPr>
          <w:p>
            <w:r>
              <w:rPr>
                <w:sz w:val="14"/>
              </w:rPr>
              <w:t>PENDING</w:t>
            </w:r>
          </w:p>
        </w:tc>
        <w:tc>
          <w:tcPr>
            <w:tcW w:type="dxa" w:w="2880"/>
          </w:tcPr>
          <w:p>
            <w:r>
              <w:rPr>
                <w:sz w:val="14"/>
              </w:rPr>
              <w:t>Signed charter</w:t>
            </w:r>
          </w:p>
        </w:tc>
      </w:tr>
      <w:tr>
        <w:tc>
          <w:tcPr>
            <w:tcW w:type="dxa" w:w="2880"/>
            <w:shd w:fill="F4F7FA"/>
          </w:tcPr>
          <w:p>
            <w:r>
              <w:rPr>
                <w:sz w:val="14"/>
              </w:rPr>
              <w:t>Capability-owner authorisation</w:t>
            </w:r>
          </w:p>
        </w:tc>
        <w:tc>
          <w:tcPr>
            <w:tcW w:type="dxa" w:w="2880"/>
            <w:shd w:fill="F4F7FA"/>
          </w:tcPr>
          <w:p>
            <w:r>
              <w:rPr>
                <w:sz w:val="14"/>
              </w:rPr>
              <w:t>PENDING</w:t>
            </w:r>
          </w:p>
        </w:tc>
        <w:tc>
          <w:tcPr>
            <w:tcW w:type="dxa" w:w="2880"/>
            <w:shd w:fill="F4F7FA"/>
          </w:tcPr>
          <w:p>
            <w:r>
              <w:rPr>
                <w:sz w:val="14"/>
              </w:rPr>
              <w:t>Scope and evidence-access approval</w:t>
            </w:r>
          </w:p>
        </w:tc>
      </w:tr>
      <w:tr>
        <w:tc>
          <w:tcPr>
            <w:tcW w:type="dxa" w:w="2880"/>
          </w:tcPr>
          <w:p>
            <w:r>
              <w:rPr>
                <w:sz w:val="14"/>
              </w:rPr>
              <w:t>Safety/testing authorisation</w:t>
            </w:r>
          </w:p>
        </w:tc>
        <w:tc>
          <w:tcPr>
            <w:tcW w:type="dxa" w:w="2880"/>
          </w:tcPr>
          <w:p>
            <w:r>
              <w:rPr>
                <w:sz w:val="14"/>
              </w:rPr>
              <w:t>PENDING</w:t>
            </w:r>
          </w:p>
        </w:tc>
        <w:tc>
          <w:tcPr>
            <w:tcW w:type="dxa" w:w="2880"/>
          </w:tcPr>
          <w:p>
            <w:r>
              <w:rPr>
                <w:sz w:val="14"/>
              </w:rPr>
              <w:t>Rules of engagement and stop criteria</w:t>
            </w:r>
          </w:p>
        </w:tc>
      </w:tr>
      <w:tr>
        <w:tc>
          <w:tcPr>
            <w:tcW w:type="dxa" w:w="2880"/>
            <w:shd w:fill="F4F7FA"/>
          </w:tcPr>
          <w:p>
            <w:r>
              <w:rPr>
                <w:sz w:val="14"/>
              </w:rPr>
              <w:t>Data/privacy/security approval</w:t>
            </w:r>
          </w:p>
        </w:tc>
        <w:tc>
          <w:tcPr>
            <w:tcW w:type="dxa" w:w="2880"/>
            <w:shd w:fill="F4F7FA"/>
          </w:tcPr>
          <w:p>
            <w:r>
              <w:rPr>
                <w:sz w:val="14"/>
              </w:rPr>
              <w:t>PENDING</w:t>
            </w:r>
          </w:p>
        </w:tc>
        <w:tc>
          <w:tcPr>
            <w:tcW w:type="dxa" w:w="2880"/>
            <w:shd w:fill="F4F7FA"/>
          </w:tcPr>
          <w:p>
            <w:r>
              <w:rPr>
                <w:sz w:val="14"/>
              </w:rPr>
              <w:t>Classification and disclosure decision</w:t>
            </w:r>
          </w:p>
        </w:tc>
      </w:tr>
      <w:tr>
        <w:tc>
          <w:tcPr>
            <w:tcW w:type="dxa" w:w="2880"/>
          </w:tcPr>
          <w:p>
            <w:r>
              <w:rPr>
                <w:sz w:val="14"/>
              </w:rPr>
              <w:t>Independent reviewer acceptance</w:t>
            </w:r>
          </w:p>
        </w:tc>
        <w:tc>
          <w:tcPr>
            <w:tcW w:type="dxa" w:w="2880"/>
          </w:tcPr>
          <w:p>
            <w:r>
              <w:rPr>
                <w:sz w:val="14"/>
              </w:rPr>
              <w:t>PENDING</w:t>
            </w:r>
          </w:p>
        </w:tc>
        <w:tc>
          <w:tcPr>
            <w:tcW w:type="dxa" w:w="2880"/>
          </w:tcPr>
          <w:p>
            <w:r>
              <w:rPr>
                <w:sz w:val="14"/>
              </w:rPr>
              <w:t>Review memorandum</w:t>
            </w:r>
          </w:p>
        </w:tc>
      </w:tr>
      <w:tr>
        <w:tc>
          <w:tcPr>
            <w:tcW w:type="dxa" w:w="2880"/>
            <w:shd w:fill="F4F7FA"/>
          </w:tcPr>
          <w:p>
            <w:r>
              <w:rPr>
                <w:sz w:val="14"/>
              </w:rPr>
              <w:t>Execution</w:t>
            </w:r>
          </w:p>
        </w:tc>
        <w:tc>
          <w:tcPr>
            <w:tcW w:type="dxa" w:w="2880"/>
            <w:shd w:fill="F4F7FA"/>
          </w:tcPr>
          <w:p>
            <w:r>
              <w:rPr>
                <w:sz w:val="14"/>
              </w:rPr>
              <w:t>NOT STARTED</w:t>
            </w:r>
          </w:p>
        </w:tc>
        <w:tc>
          <w:tcPr>
            <w:tcW w:type="dxa" w:w="2880"/>
            <w:shd w:fill="F4F7FA"/>
          </w:tcPr>
          <w:p>
            <w:r>
              <w:rPr>
                <w:sz w:val="14"/>
              </w:rPr>
              <w:t>Workpapers and logs</w:t>
            </w:r>
          </w:p>
        </w:tc>
      </w:tr>
      <w:tr>
        <w:tc>
          <w:tcPr>
            <w:tcW w:type="dxa" w:w="2880"/>
          </w:tcPr>
          <w:p>
            <w:r>
              <w:rPr>
                <w:sz w:val="14"/>
              </w:rPr>
              <w:t>Assurance Decision</w:t>
            </w:r>
          </w:p>
        </w:tc>
        <w:tc>
          <w:tcPr>
            <w:tcW w:type="dxa" w:w="2880"/>
          </w:tcPr>
          <w:p>
            <w:r>
              <w:rPr>
                <w:sz w:val="14"/>
              </w:rPr>
              <w:t>NOT ISSUED</w:t>
            </w:r>
          </w:p>
        </w:tc>
        <w:tc>
          <w:tcPr>
            <w:tcW w:type="dxa" w:w="2880"/>
          </w:tcPr>
          <w:p>
            <w:r>
              <w:rPr>
                <w:sz w:val="14"/>
              </w:rPr>
              <w:t>Signed decision record</w:t>
            </w:r>
          </w:p>
        </w:tc>
      </w:tr>
      <w:tr>
        <w:tc>
          <w:tcPr>
            <w:tcW w:type="dxa" w:w="2880"/>
            <w:shd w:fill="F4F7FA"/>
          </w:tcPr>
          <w:p>
            <w:r>
              <w:rPr>
                <w:sz w:val="14"/>
              </w:rPr>
              <w:t>Public summary</w:t>
            </w:r>
          </w:p>
        </w:tc>
        <w:tc>
          <w:tcPr>
            <w:tcW w:type="dxa" w:w="2880"/>
            <w:shd w:fill="F4F7FA"/>
          </w:tcPr>
          <w:p>
            <w:r>
              <w:rPr>
                <w:sz w:val="14"/>
              </w:rPr>
              <w:t>NOT AUTHORISED</w:t>
            </w:r>
          </w:p>
        </w:tc>
        <w:tc>
          <w:tcPr>
            <w:tcW w:type="dxa" w:w="2880"/>
            <w:shd w:fill="F4F7FA"/>
          </w:tcPr>
          <w:p>
            <w:r>
              <w:rPr>
                <w:sz w:val="14"/>
              </w:rPr>
              <w:t>Publication approval</w:t>
            </w:r>
          </w:p>
        </w:tc>
      </w:tr>
    </w:tbl>
    <w:p/>
    <w:p>
      <w:r>
        <w:t>This record is intentionally incomplete. Completing it requires real organisational authority, named reviewers and evidence that cannot be fabricated by the whitepaper author or the drafting assistant.</w:t>
      </w:r>
    </w:p>
    <w:p>
      <w:r>
        <w:br w:type="page"/>
      </w:r>
    </w:p>
    <w:p>
      <w:pPr>
        <w:pStyle w:val="Heading1"/>
      </w:pPr>
      <w:r>
        <w:t>46. AITG composed scenario example</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Layer</w:t>
            </w:r>
          </w:p>
        </w:tc>
        <w:tc>
          <w:tcPr>
            <w:tcW w:type="dxa" w:w="4320"/>
            <w:shd w:fill="17365D"/>
          </w:tcPr>
          <w:p>
            <w:r>
              <w:rPr>
                <w:b/>
                <w:color w:val="FFFFFF"/>
                <w:sz w:val="15"/>
              </w:rPr>
              <w:t>Synthetic composed path</w:t>
            </w:r>
          </w:p>
        </w:tc>
      </w:tr>
      <w:tr>
        <w:tc>
          <w:tcPr>
            <w:tcW w:type="dxa" w:w="4320"/>
          </w:tcPr>
          <w:p>
            <w:r>
              <w:rPr>
                <w:sz w:val="14"/>
              </w:rPr>
              <w:t>AIDCF infrastructure path</w:t>
            </w:r>
          </w:p>
        </w:tc>
        <w:tc>
          <w:tcPr>
            <w:tcW w:type="dxa" w:w="4320"/>
          </w:tcPr>
          <w:p>
            <w:r>
              <w:rPr>
                <w:sz w:val="14"/>
              </w:rPr>
              <w:t>Cooling-control dependency degrades thermal capacity and affects accelerator operation.</w:t>
            </w:r>
          </w:p>
        </w:tc>
      </w:tr>
      <w:tr>
        <w:tc>
          <w:tcPr>
            <w:tcW w:type="dxa" w:w="4320"/>
            <w:shd w:fill="F4F7FA"/>
          </w:tcPr>
          <w:p>
            <w:r>
              <w:rPr>
                <w:sz w:val="14"/>
              </w:rPr>
              <w:t>Boundary handoff</w:t>
            </w:r>
          </w:p>
        </w:tc>
        <w:tc>
          <w:tcPr>
            <w:tcW w:type="dxa" w:w="4320"/>
            <w:shd w:fill="F4F7FA"/>
          </w:tcPr>
          <w:p>
            <w:r>
              <w:rPr>
                <w:sz w:val="14"/>
              </w:rPr>
              <w:t>The cooling-management service is referenced as a dependency and enforcement point for the AI capability.</w:t>
            </w:r>
          </w:p>
        </w:tc>
      </w:tr>
      <w:tr>
        <w:tc>
          <w:tcPr>
            <w:tcW w:type="dxa" w:w="4320"/>
          </w:tcPr>
          <w:p>
            <w:r>
              <w:rPr>
                <w:sz w:val="14"/>
              </w:rPr>
              <w:t>AITG path</w:t>
            </w:r>
          </w:p>
        </w:tc>
        <w:tc>
          <w:tcPr>
            <w:tcW w:type="dxa" w:w="4320"/>
          </w:tcPr>
          <w:p>
            <w:r>
              <w:rPr>
                <w:sz w:val="14"/>
              </w:rPr>
              <w:t>Authority over the management interface and remote-support relationship are examined as trust and exposure relationships.</w:t>
            </w:r>
          </w:p>
        </w:tc>
      </w:tr>
      <w:tr>
        <w:tc>
          <w:tcPr>
            <w:tcW w:type="dxa" w:w="4320"/>
            <w:shd w:fill="F4F7FA"/>
          </w:tcPr>
          <w:p>
            <w:r>
              <w:rPr>
                <w:sz w:val="14"/>
              </w:rPr>
              <w:t>Evidence reuse</w:t>
            </w:r>
          </w:p>
        </w:tc>
        <w:tc>
          <w:tcPr>
            <w:tcW w:type="dxa" w:w="4320"/>
            <w:shd w:fill="F4F7FA"/>
          </w:tcPr>
          <w:p>
            <w:r>
              <w:rPr>
                <w:sz w:val="14"/>
              </w:rPr>
              <w:t>Access logs and configuration records support separate AIDCF and AITG assertions with distinct relevance reviews.</w:t>
            </w:r>
          </w:p>
        </w:tc>
      </w:tr>
      <w:tr>
        <w:tc>
          <w:tcPr>
            <w:tcW w:type="dxa" w:w="4320"/>
          </w:tcPr>
          <w:p>
            <w:r>
              <w:rPr>
                <w:sz w:val="14"/>
              </w:rPr>
              <w:t>Native findings</w:t>
            </w:r>
          </w:p>
        </w:tc>
        <w:tc>
          <w:tcPr>
            <w:tcW w:type="dxa" w:w="4320"/>
          </w:tcPr>
          <w:p>
            <w:r>
              <w:rPr>
                <w:sz w:val="14"/>
              </w:rPr>
              <w:t>AIDCF reports infrastructure safeguard and recovery effects; AITG reports authority/exposure effects.</w:t>
            </w:r>
          </w:p>
        </w:tc>
      </w:tr>
      <w:tr>
        <w:tc>
          <w:tcPr>
            <w:tcW w:type="dxa" w:w="4320"/>
            <w:shd w:fill="F4F7FA"/>
          </w:tcPr>
          <w:p>
            <w:r>
              <w:rPr>
                <w:sz w:val="14"/>
              </w:rPr>
              <w:t>Federated decision</w:t>
            </w:r>
          </w:p>
        </w:tc>
        <w:tc>
          <w:tcPr>
            <w:tcW w:type="dxa" w:w="4320"/>
            <w:shd w:fill="F4F7FA"/>
          </w:tcPr>
          <w:p>
            <w:r>
              <w:rPr>
                <w:sz w:val="14"/>
              </w:rPr>
              <w:t>Both conclusions appear in one package without automatic aggregation.</w:t>
            </w:r>
          </w:p>
        </w:tc>
      </w:tr>
    </w:tbl>
    <w:p/>
    <w:p>
      <w:r>
        <w:br w:type="page"/>
      </w:r>
    </w:p>
    <w:p>
      <w:pPr>
        <w:pStyle w:val="Heading1"/>
      </w:pPr>
      <w:r>
        <w:t>47. Publication and archival release gate</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7365D"/>
          </w:tcPr>
          <w:p>
            <w:r>
              <w:rPr>
                <w:b/>
                <w:color w:val="FFFFFF"/>
                <w:sz w:val="15"/>
              </w:rPr>
              <w:t>Release item</w:t>
            </w:r>
          </w:p>
        </w:tc>
        <w:tc>
          <w:tcPr>
            <w:tcW w:type="dxa" w:w="4320"/>
            <w:shd w:fill="17365D"/>
          </w:tcPr>
          <w:p>
            <w:r>
              <w:rPr>
                <w:b/>
                <w:color w:val="FFFFFF"/>
                <w:sz w:val="15"/>
              </w:rPr>
              <w:t>Required before final v3.0</w:t>
            </w:r>
          </w:p>
        </w:tc>
      </w:tr>
      <w:tr>
        <w:tc>
          <w:tcPr>
            <w:tcW w:type="dxa" w:w="4320"/>
          </w:tcPr>
          <w:p>
            <w:r>
              <w:rPr>
                <w:sz w:val="14"/>
              </w:rPr>
              <w:t>Table of contents and navigation</w:t>
            </w:r>
          </w:p>
        </w:tc>
        <w:tc>
          <w:tcPr>
            <w:tcW w:type="dxa" w:w="4320"/>
          </w:tcPr>
          <w:p>
            <w:r>
              <w:rPr>
                <w:sz w:val="14"/>
              </w:rPr>
              <w:t>Generate and update fields in final PDF/DOCX.</w:t>
            </w:r>
          </w:p>
        </w:tc>
      </w:tr>
      <w:tr>
        <w:tc>
          <w:tcPr>
            <w:tcW w:type="dxa" w:w="4320"/>
            <w:shd w:fill="F4F7FA"/>
          </w:tcPr>
          <w:p>
            <w:r>
              <w:rPr>
                <w:sz w:val="14"/>
              </w:rPr>
              <w:t>Licence</w:t>
            </w:r>
          </w:p>
        </w:tc>
        <w:tc>
          <w:tcPr>
            <w:tcW w:type="dxa" w:w="4320"/>
            <w:shd w:fill="F4F7FA"/>
          </w:tcPr>
          <w:p>
            <w:r>
              <w:rPr>
                <w:sz w:val="14"/>
              </w:rPr>
              <w:t>Select whitepaper, dataset and software licences separately.</w:t>
            </w:r>
          </w:p>
        </w:tc>
      </w:tr>
      <w:tr>
        <w:tc>
          <w:tcPr>
            <w:tcW w:type="dxa" w:w="4320"/>
          </w:tcPr>
          <w:p>
            <w:r>
              <w:rPr>
                <w:sz w:val="14"/>
              </w:rPr>
              <w:t>DOI</w:t>
            </w:r>
          </w:p>
        </w:tc>
        <w:tc>
          <w:tcPr>
            <w:tcW w:type="dxa" w:w="4320"/>
          </w:tcPr>
          <w:p>
            <w:r>
              <w:rPr>
                <w:sz w:val="14"/>
              </w:rPr>
              <w:t>Reserve DOI and insert into final artefacts and metadata.</w:t>
            </w:r>
          </w:p>
        </w:tc>
      </w:tr>
      <w:tr>
        <w:tc>
          <w:tcPr>
            <w:tcW w:type="dxa" w:w="4320"/>
            <w:shd w:fill="F4F7FA"/>
          </w:tcPr>
          <w:p>
            <w:r>
              <w:rPr>
                <w:sz w:val="14"/>
              </w:rPr>
              <w:t>Independent review</w:t>
            </w:r>
          </w:p>
        </w:tc>
        <w:tc>
          <w:tcPr>
            <w:tcW w:type="dxa" w:w="4320"/>
            <w:shd w:fill="F4F7FA"/>
          </w:tcPr>
          <w:p>
            <w:r>
              <w:rPr>
                <w:sz w:val="14"/>
              </w:rPr>
              <w:t>Close or disclose all blocker/major issues.</w:t>
            </w:r>
          </w:p>
        </w:tc>
      </w:tr>
      <w:tr>
        <w:tc>
          <w:tcPr>
            <w:tcW w:type="dxa" w:w="4320"/>
          </w:tcPr>
          <w:p>
            <w:r>
              <w:rPr>
                <w:sz w:val="14"/>
              </w:rPr>
              <w:t>Gate approval</w:t>
            </w:r>
          </w:p>
        </w:tc>
        <w:tc>
          <w:tcPr>
            <w:tcW w:type="dxa" w:w="4320"/>
          </w:tcPr>
          <w:p>
            <w:r>
              <w:rPr>
                <w:sz w:val="14"/>
              </w:rPr>
              <w:t>Publish signed canonical gate registry.</w:t>
            </w:r>
          </w:p>
        </w:tc>
      </w:tr>
      <w:tr>
        <w:tc>
          <w:tcPr>
            <w:tcW w:type="dxa" w:w="4320"/>
            <w:shd w:fill="F4F7FA"/>
          </w:tcPr>
          <w:p>
            <w:r>
              <w:rPr>
                <w:sz w:val="14"/>
              </w:rPr>
              <w:t>Pilot</w:t>
            </w:r>
          </w:p>
        </w:tc>
        <w:tc>
          <w:tcPr>
            <w:tcW w:type="dxa" w:w="4320"/>
            <w:shd w:fill="F4F7FA"/>
          </w:tcPr>
          <w:p>
            <w:r>
              <w:rPr>
                <w:sz w:val="14"/>
              </w:rPr>
              <w:t>Complete at least one genuinely authorised pilot or retain validation-candidate status.</w:t>
            </w:r>
          </w:p>
        </w:tc>
      </w:tr>
      <w:tr>
        <w:tc>
          <w:tcPr>
            <w:tcW w:type="dxa" w:w="4320"/>
          </w:tcPr>
          <w:p>
            <w:r>
              <w:rPr>
                <w:sz w:val="14"/>
              </w:rPr>
              <w:t>Accessibility</w:t>
            </w:r>
          </w:p>
        </w:tc>
        <w:tc>
          <w:tcPr>
            <w:tcW w:type="dxa" w:w="4320"/>
          </w:tcPr>
          <w:p>
            <w:r>
              <w:rPr>
                <w:sz w:val="14"/>
              </w:rPr>
              <w:t>Alt text, tagged reading order, table headers, bookmarks and contrast.</w:t>
            </w:r>
          </w:p>
        </w:tc>
      </w:tr>
      <w:tr>
        <w:tc>
          <w:tcPr>
            <w:tcW w:type="dxa" w:w="4320"/>
            <w:shd w:fill="F4F7FA"/>
          </w:tcPr>
          <w:p>
            <w:r>
              <w:rPr>
                <w:sz w:val="14"/>
              </w:rPr>
              <w:t>Archival PDF</w:t>
            </w:r>
          </w:p>
        </w:tc>
        <w:tc>
          <w:tcPr>
            <w:tcW w:type="dxa" w:w="4320"/>
            <w:shd w:fill="F4F7FA"/>
          </w:tcPr>
          <w:p>
            <w:r>
              <w:rPr>
                <w:sz w:val="14"/>
              </w:rPr>
              <w:t>Produce stable PDF/PDF-A as appropriate with embedded fonts.</w:t>
            </w:r>
          </w:p>
        </w:tc>
      </w:tr>
      <w:tr>
        <w:tc>
          <w:tcPr>
            <w:tcW w:type="dxa" w:w="4320"/>
          </w:tcPr>
          <w:p>
            <w:r>
              <w:rPr>
                <w:sz w:val="14"/>
              </w:rPr>
              <w:t>Manifest</w:t>
            </w:r>
          </w:p>
        </w:tc>
        <w:tc>
          <w:tcPr>
            <w:tcW w:type="dxa" w:w="4320"/>
          </w:tcPr>
          <w:p>
            <w:r>
              <w:rPr>
                <w:sz w:val="14"/>
              </w:rPr>
              <w:t>Publish checksums, versions and related-output identifiers.</w:t>
            </w:r>
          </w:p>
        </w:tc>
      </w:tr>
      <w:tr>
        <w:tc>
          <w:tcPr>
            <w:tcW w:type="dxa" w:w="4320"/>
            <w:shd w:fill="F4F7FA"/>
          </w:tcPr>
          <w:p>
            <w:r>
              <w:rPr>
                <w:sz w:val="14"/>
              </w:rPr>
              <w:t>Review channel</w:t>
            </w:r>
          </w:p>
        </w:tc>
        <w:tc>
          <w:tcPr>
            <w:tcW w:type="dxa" w:w="4320"/>
            <w:shd w:fill="F4F7FA"/>
          </w:tcPr>
          <w:p>
            <w:r>
              <w:rPr>
                <w:sz w:val="14"/>
              </w:rPr>
              <w:t>Publish issue/contact channel and disposition policy.</w:t>
            </w:r>
          </w:p>
        </w:tc>
      </w:tr>
    </w:tbl>
    <w:p/>
    <w:tbl>
      <w:tblPr>
        <w:tblW w:type="auto" w:w="0"/>
        <w:tblLook w:firstColumn="1" w:firstRow="1" w:lastColumn="0" w:lastRow="0" w:noHBand="0" w:noVBand="1" w:val="04A0"/>
      </w:tblPr>
      <w:tblGrid>
        <w:gridCol w:w="8640"/>
      </w:tblGrid>
      <w:tr>
        <w:tc>
          <w:tcPr>
            <w:tcW w:type="dxa" w:w="8640"/>
            <w:shd w:fill="FFF2CC"/>
          </w:tcPr>
          <w:p>
            <w:r>
              <w:rPr>
                <w:b/>
              </w:rPr>
              <w:t>Release rule</w:t>
              <w:br/>
            </w:r>
            <w:r>
              <w:t>If independent gate approval and an authorised pilot remain incomplete, the document must retain VALIDATION CANDIDATE or PUBLIC REVIEW DRAFT status. It must not be presented as a final validated framework.</w:t>
            </w:r>
          </w:p>
        </w:tc>
      </w:tr>
    </w:tbl>
    <w:p/>
    <w:p>
      <w:r>
        <w:br w:type="page"/>
      </w:r>
    </w:p>
    <w:p>
      <w:pPr>
        <w:pStyle w:val="Heading1"/>
      </w:pPr>
      <w:r>
        <w:t>48. v3.0 conclusion</w:t>
      </w:r>
    </w:p>
    <w:p>
      <w:r>
        <w:t>AIDCF v3.0 is a comprehensive validation candidate. It integrates the conceptual model, control universe, evidence and assessment doctrine, gate-controlled decision model, machine-executable traceability, reviewer dispositions, candidate gate registry, derivation-record package, security disclosure model, independent-review charter and pilot programme package.</w:t>
      </w:r>
    </w:p>
    <w:p>
      <w:r>
        <w:t>The remaining work is evidential, not editorial: named independent reviewers must accept or challenge the dispositions; the critical gates must be ratified through documented governance; the derivation registers must be populated and reviewed; scoring must be re-performed from disclosed source values; and at least one real pilot must be authorised and executed. Until those records exist, v3.0 is not described as externally validated.</w:t>
      </w:r>
    </w:p>
    <w:p>
      <w:pPr>
        <w:pStyle w:val="Heading1"/>
      </w:pPr>
      <w:r>
        <w:t>References</w:t>
      </w:r>
    </w:p>
    <w:p>
      <w:r>
        <w:t>[1] International Organization for Standardization. ISO/IEC 22237-1:2021, Information technology - Data centre facilities and infrastructures - Part 1: General concepts. Edition 1, October 2021. https://www.iso.org/standard/78550.html</w:t>
      </w:r>
    </w:p>
    <w:p>
      <w:r>
        <w:t>[2] National Institute of Standards and Technology. Artificial Intelligence Risk Management Framework (AI RMF 1.0), NIST AI 100-1. January 2023. DOI: 10.6028/NIST.AI.100-1.</w:t>
      </w:r>
    </w:p>
    <w:p>
      <w:r>
        <w:t>[3] National Institute of Standards and Technology. NIST AI RMF Playbook. Companion guidance for Govern, Map, Measure and Manage. Public web resource, updated June 10, 2026.</w:t>
      </w:r>
    </w:p>
    <w:p>
      <w:r>
        <w:t>[4] Uptime Institute. Tier Standard: Topology. Public abstract describing comparison of site-infrastructure topology and four Tier classifications. https://uptimeinstitute.com/publications/asset/tier-standard-topology</w:t>
      </w:r>
    </w:p>
    <w:p>
      <w:r>
        <w:t>[5] Telecommunications Industry Association. ANSI/TIA-942-C, Telecommunications Infrastructure Standard for Data Centers. Revision C, published May 2024. https://tiaonline.org/standard/tia-942/</w:t>
      </w:r>
    </w:p>
    <w:p>
      <w:r>
        <w:t>[6] World Wide Web Consortium. PROV-O: The PROV Ontology. W3C Recommendation, April 30, 2013.</w:t>
      </w:r>
    </w:p>
    <w:p>
      <w:r>
        <w:t>[7] Sethumadhavan, S. AIDCF-005 AI Trust Graph Integration Standard v1.0. Controlled-review draft.</w:t>
      </w:r>
    </w:p>
    <w:p>
      <w:r>
        <w:t>[8] Sethumadhavan, S. AIDCF-007A Constitutional Amendment and Canonical Master Control Registry v1.0. Approved AIDCF baseline.</w:t>
      </w:r>
    </w:p>
    <w:p>
      <w:r>
        <w:t>[9] Sethumadhavan, S. AIDCF-009 Assessment Methodology Enhanced Practitioner Handbook v1.1. Controlled-review draft.</w:t>
      </w:r>
    </w:p>
    <w:p>
      <w:r>
        <w:t>[10] Sethumadhavan, S. AIDCF-012 Reporting and Assurance Statement Standard v1.0. Controlled-review draft.</w:t>
      </w:r>
    </w:p>
    <w:p>
      <w:r>
        <w:t>[11] Sethumadhavan, S. AIDCF-013 AI Data Centre Assurance Reference Architecture v1.0. Controlled-review draft.</w:t>
      </w:r>
    </w:p>
    <w:p>
      <w:r>
        <w:t>[12] Sethumadhavan, S. AIDCF-014 End-to-End Traceability and Machine-Executable Data Standard v1.0. Controlled-review draft.</w:t>
      </w:r>
    </w:p>
    <w:p>
      <w:r>
        <w:t>[13] Sethumadhavan, S. AIDCF-015 v1.2 Canonical Baseline Migration Package. Synthetic, non-production reference implementation.</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AIDCF-WP-001 | Research framework, not certification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86174"/>
        <w:sz w:val="15"/>
      </w:rPr>
      <w:t>AIDCF TECHNICAL WHITEPAPER | VERSION 3.0 | PUBLIC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Display" w:hAnsi="Aptos Display"/>
      <w:b w:val="0"/>
      <w:i/>
      <w:iCs/>
      <w:color w:val="5861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86174"/>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AI Data Centre Facilities Assurance Framework v3.0</dc:title>
  <dc:subject>Validation Candidate for Independent Review</dc:subject>
  <dc:creator>Siva Sethumadhavan (SG)</dc:creator>
  <keywords>AI data centre, AI factory, infrastructure assurance, controls, evidence, resilience, critical gates</keywords>
  <dc:description>v3.0 incorporates review dispositions, candidate gate approval package, derivation records and pilot authorisation package without fabricating independent approval or pilot execution.</dc:description>
  <lastModifiedBy>Siva Sethumadhavan (SG)</lastModifiedBy>
  <revision>1</revision>
  <dcterms:created xsi:type="dcterms:W3CDTF">2026-10-09T08:49:36.0084656Z</dcterms:created>
  <dcterms:modified xsi:type="dcterms:W3CDTF">2026-10-09T08:49:36.0084656Z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9b3b28-5ae5-401e-b514-a0a1a5d5a77d_Enabled">
    <vt:lpwstr>true</vt:lpwstr>
  </property>
  <property fmtid="{D5CDD505-2E9C-101B-9397-08002B2CF9AE}" pid="3" name="MSIP_Label_a79b3b28-5ae5-401e-b514-a0a1a5d5a77d_SetDate">
    <vt:lpwstr>2026-10-09T08:17:33Z</vt:lpwstr>
  </property>
  <property fmtid="{D5CDD505-2E9C-101B-9397-08002B2CF9AE}" pid="4" name="MSIP_Label_a79b3b28-5ae5-401e-b514-a0a1a5d5a77d_Method">
    <vt:lpwstr>Privileged</vt:lpwstr>
  </property>
  <property fmtid="{D5CDD505-2E9C-101B-9397-08002B2CF9AE}" pid="5" name="MSIP_Label_a79b3b28-5ae5-401e-b514-a0a1a5d5a77d_Name">
    <vt:lpwstr>Highly Confidential - Open Access</vt:lpwstr>
  </property>
  <property fmtid="{D5CDD505-2E9C-101B-9397-08002B2CF9AE}" pid="6" name="MSIP_Label_a79b3b28-5ae5-401e-b514-a0a1a5d5a77d_SiteId">
    <vt:lpwstr>513294a0-3e20-41b2-a970-6d30bf1546fa</vt:lpwstr>
  </property>
  <property fmtid="{D5CDD505-2E9C-101B-9397-08002B2CF9AE}" pid="7" name="MSIP_Label_a79b3b28-5ae5-401e-b514-a0a1a5d5a77d_ActionId">
    <vt:lpwstr>ccd84a65-7734-4151-87ca-9cef9efc8016</vt:lpwstr>
  </property>
  <property fmtid="{D5CDD505-2E9C-101B-9397-08002B2CF9AE}" pid="8" name="MSIP_Label_a79b3b28-5ae5-401e-b514-a0a1a5d5a77d_ContentBits">
    <vt:lpwstr>0</vt:lpwstr>
  </property>
</Properties>
</file>