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Performance and Testing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1November2025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tabs>
                <w:tab w:val="left" w:leader="none" w:pos="1068"/>
              </w:tabs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NM2025TMID02619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Calculating family Expenses using service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4Marks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Model performance Testing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New update Creation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533400</wp:posOffset>
            </wp:positionV>
            <wp:extent cx="5943600" cy="37693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a new user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Execution   Success   rate – 98 %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Validation-Manual test Passed with Expected Behaviour.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Score (Rule Effectiveness)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-95%rule execution reliability based on test scenarios.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Creation Of Table (Family Expenses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389255</wp:posOffset>
            </wp:positionV>
            <wp:extent cx="5943600" cy="2688590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170180</wp:posOffset>
            </wp:positionH>
            <wp:positionV relativeFrom="paragraph">
              <wp:posOffset>278130</wp:posOffset>
            </wp:positionV>
            <wp:extent cx="5943600" cy="2632710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149860</wp:posOffset>
            </wp:positionH>
            <wp:positionV relativeFrom="paragraph">
              <wp:posOffset>47625</wp:posOffset>
            </wp:positionV>
            <wp:extent cx="5943600" cy="263779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Creation of table (family expenses).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Execution   Success   rate – 98 %</w:t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Validation-Manual test Passed with Expected Behaviour.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Score (Rule Effectiveness)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Confidence -95%rule execution reliability based on test scenarios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Creation of Table (Daily Expenses)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67945</wp:posOffset>
            </wp:positionV>
            <wp:extent cx="5943600" cy="2804795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361315</wp:posOffset>
            </wp:positionH>
            <wp:positionV relativeFrom="paragraph">
              <wp:posOffset>0</wp:posOffset>
            </wp:positionV>
            <wp:extent cx="5943600" cy="2698115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1020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Creation of table (Daily expenses).</w:t>
            </w:r>
          </w:p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Execution   Success   rate – 98 %</w:t>
            </w:r>
          </w:p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Validation-Manual test Passed with Expected Behaviour.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Score (Rule Effectiveness)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-95%rule execution reliability based on test scenarios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br w:type="textWrapping"/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Creation Of Business Rules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294640</wp:posOffset>
            </wp:positionV>
            <wp:extent cx="5943600" cy="2748915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3156"/>
              </w:tabs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1308"/>
              </w:tabs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Creation of business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Execution   Success   rate – 98 %</w:t>
            </w:r>
          </w:p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Validation-Manual test Passed with Expected Behaviour.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Score (Rule Effectiveness)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-95%rule execution reliability based on test scenarios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Configure The Relationship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391795</wp:posOffset>
            </wp:positionV>
            <wp:extent cx="5943600" cy="2095500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2604135</wp:posOffset>
            </wp:positionV>
            <wp:extent cx="5943600" cy="2095500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Configure the relationship.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Execution   Success   rate – 98 %</w:t>
            </w:r>
          </w:p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Validation-Manual test Passed with Expected Behaviour.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Score (Rule Effectiveness)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Confidence -95%rule execution reliability based on test scenarios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performance testing phase effectively validated all core functionalities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Family Expense Management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expense entry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category assignment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budget setup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report generation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real-time tracking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model exhibited high accuracy and reliability, with minimal calculation discrepancies during repeated test executions.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Confidence scores confirmed that the system’s automated rules accurately processed expenses, updated budgets, and generated analytical reports without performance lag. These outcomes ensured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integrity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transaction accuracy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 responsiveness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even under high data loads.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testing phase verified that the system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production-ready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ensuring seamless user experience and operational efficiency. Overall, the performance test results confirm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Family Expense Calculation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robust, scalable, and effectively aligned with the project’s objectives of simplifying financial tracking and management.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