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3350" w14:textId="77777777" w:rsidR="000F5697" w:rsidRDefault="00000000">
      <w:pPr>
        <w:pStyle w:val="Heading1"/>
        <w:numPr>
          <w:ilvl w:val="0"/>
          <w:numId w:val="3"/>
        </w:numPr>
        <w:tabs>
          <w:tab w:val="left" w:pos="681"/>
          <w:tab w:val="left" w:pos="1040"/>
        </w:tabs>
        <w:spacing w:line="280" w:lineRule="auto"/>
        <w:ind w:hanging="305"/>
      </w:pPr>
      <w:bookmarkStart w:id="0" w:name="13.Limitations_of_Low-Code_Platforms_for"/>
      <w:bookmarkEnd w:id="0"/>
      <w:r>
        <w:rPr>
          <w:color w:val="0E4660"/>
        </w:rPr>
        <w:t>Limitations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of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Low-Code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Platforms for a Complex Enterprise Use Case</w:t>
      </w:r>
    </w:p>
    <w:p w14:paraId="1C265836" w14:textId="77777777" w:rsidR="000F5697" w:rsidRDefault="00000000">
      <w:pPr>
        <w:spacing w:before="316"/>
        <w:rPr>
          <w:b/>
          <w:sz w:val="28"/>
        </w:rPr>
      </w:pPr>
      <w:bookmarkStart w:id="1" w:name="Aim"/>
      <w:bookmarkEnd w:id="1"/>
      <w:r>
        <w:rPr>
          <w:b/>
          <w:color w:val="0E4660"/>
          <w:spacing w:val="-5"/>
          <w:sz w:val="28"/>
        </w:rPr>
        <w:t>Aim</w:t>
      </w:r>
    </w:p>
    <w:p w14:paraId="0612C26C" w14:textId="77777777" w:rsidR="000F5697" w:rsidRDefault="000F5697">
      <w:pPr>
        <w:pStyle w:val="BodyText"/>
        <w:spacing w:before="9"/>
        <w:ind w:firstLine="0"/>
        <w:rPr>
          <w:b/>
          <w:sz w:val="28"/>
        </w:rPr>
      </w:pPr>
    </w:p>
    <w:p w14:paraId="18B9628F" w14:textId="77777777" w:rsidR="000F5697" w:rsidRDefault="00000000">
      <w:pPr>
        <w:pStyle w:val="BodyText"/>
        <w:spacing w:line="278" w:lineRule="auto"/>
        <w:ind w:right="402" w:firstLine="0"/>
      </w:pP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technical,</w:t>
      </w:r>
      <w:r>
        <w:rPr>
          <w:spacing w:val="-10"/>
        </w:rPr>
        <w:t xml:space="preserve"> </w:t>
      </w:r>
      <w:r>
        <w:t>architectural,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t>limitations of low-code development platforms when implemented for complex, large-scale enterprise software requirements.</w:t>
      </w:r>
    </w:p>
    <w:p w14:paraId="1B06B9B4" w14:textId="77777777" w:rsidR="000F5697" w:rsidRDefault="00000000">
      <w:pPr>
        <w:spacing w:before="247"/>
        <w:rPr>
          <w:b/>
          <w:sz w:val="28"/>
        </w:rPr>
      </w:pPr>
      <w:bookmarkStart w:id="2" w:name="Theory"/>
      <w:bookmarkEnd w:id="2"/>
      <w:r>
        <w:rPr>
          <w:b/>
          <w:color w:val="0E4660"/>
          <w:spacing w:val="-2"/>
          <w:sz w:val="28"/>
        </w:rPr>
        <w:t>Theory</w:t>
      </w:r>
    </w:p>
    <w:p w14:paraId="6C0EF93E" w14:textId="77777777" w:rsidR="000F5697" w:rsidRDefault="000F5697">
      <w:pPr>
        <w:pStyle w:val="BodyText"/>
        <w:spacing w:before="8"/>
        <w:ind w:firstLine="0"/>
        <w:rPr>
          <w:b/>
          <w:sz w:val="28"/>
        </w:rPr>
      </w:pPr>
    </w:p>
    <w:p w14:paraId="157CAAF9" w14:textId="77777777" w:rsidR="000F5697" w:rsidRDefault="00000000">
      <w:pPr>
        <w:pStyle w:val="BodyText"/>
        <w:spacing w:line="278" w:lineRule="auto"/>
        <w:ind w:right="402" w:firstLine="0"/>
      </w:pPr>
      <w:r>
        <w:t>While</w:t>
      </w:r>
      <w:r>
        <w:rPr>
          <w:spacing w:val="-5"/>
        </w:rPr>
        <w:t xml:space="preserve"> </w:t>
      </w:r>
      <w:r>
        <w:t>low-code</w:t>
      </w:r>
      <w:r>
        <w:rPr>
          <w:spacing w:val="-9"/>
        </w:rPr>
        <w:t xml:space="preserve"> </w:t>
      </w:r>
      <w:r>
        <w:t>platforms</w:t>
      </w:r>
      <w:r>
        <w:rPr>
          <w:spacing w:val="-11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 (RAD) capabilities for simple to medium business applications, they encounter significant constraints when applied to complex enterprise systems. Key theoretical limitations include:</w:t>
      </w:r>
    </w:p>
    <w:p w14:paraId="6AB7D837" w14:textId="77777777" w:rsidR="000F5697" w:rsidRDefault="00000000">
      <w:pPr>
        <w:pStyle w:val="Heading2"/>
        <w:numPr>
          <w:ilvl w:val="1"/>
          <w:numId w:val="3"/>
        </w:numPr>
        <w:tabs>
          <w:tab w:val="left" w:pos="719"/>
        </w:tabs>
        <w:spacing w:before="243"/>
        <w:ind w:left="719" w:hanging="359"/>
      </w:pPr>
      <w:r>
        <w:t>Customization</w:t>
      </w:r>
      <w:r>
        <w:rPr>
          <w:spacing w:val="-7"/>
        </w:rPr>
        <w:t xml:space="preserve"> </w:t>
      </w:r>
      <w:r>
        <w:rPr>
          <w:spacing w:val="-2"/>
        </w:rPr>
        <w:t>Constraints:</w:t>
      </w:r>
    </w:p>
    <w:p w14:paraId="29EE93F1" w14:textId="77777777" w:rsidR="000F5697" w:rsidRDefault="00000000">
      <w:pPr>
        <w:pStyle w:val="ListParagraph"/>
        <w:numPr>
          <w:ilvl w:val="2"/>
          <w:numId w:val="3"/>
        </w:numPr>
        <w:tabs>
          <w:tab w:val="left" w:pos="1441"/>
        </w:tabs>
        <w:spacing w:before="62" w:line="278" w:lineRule="auto"/>
        <w:ind w:right="489"/>
        <w:rPr>
          <w:sz w:val="32"/>
        </w:rPr>
      </w:pPr>
      <w:r>
        <w:rPr>
          <w:sz w:val="32"/>
        </w:rPr>
        <w:t>Low-code</w:t>
      </w:r>
      <w:r>
        <w:rPr>
          <w:spacing w:val="-1"/>
          <w:sz w:val="32"/>
        </w:rPr>
        <w:t xml:space="preserve"> </w:t>
      </w:r>
      <w:r>
        <w:rPr>
          <w:sz w:val="32"/>
        </w:rPr>
        <w:t>platforms rely heavily on pre-built templates, visual</w:t>
      </w:r>
      <w:r>
        <w:rPr>
          <w:spacing w:val="-9"/>
          <w:sz w:val="32"/>
        </w:rPr>
        <w:t xml:space="preserve"> </w:t>
      </w:r>
      <w:r>
        <w:rPr>
          <w:sz w:val="32"/>
        </w:rPr>
        <w:t>components,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standardized</w:t>
      </w:r>
      <w:r>
        <w:rPr>
          <w:spacing w:val="-6"/>
          <w:sz w:val="32"/>
        </w:rPr>
        <w:t xml:space="preserve"> </w:t>
      </w:r>
      <w:r>
        <w:rPr>
          <w:sz w:val="32"/>
        </w:rPr>
        <w:t>workflows.</w:t>
      </w:r>
      <w:r>
        <w:rPr>
          <w:spacing w:val="-11"/>
          <w:sz w:val="32"/>
        </w:rPr>
        <w:t xml:space="preserve"> </w:t>
      </w:r>
      <w:r>
        <w:rPr>
          <w:sz w:val="32"/>
        </w:rPr>
        <w:t>When an enterprise requires deeply customized algorithms, niche user interfaces, or intricate backend logic, visual builders can</w:t>
      </w:r>
      <w:r>
        <w:rPr>
          <w:spacing w:val="-2"/>
          <w:sz w:val="32"/>
        </w:rPr>
        <w:t xml:space="preserve"> </w:t>
      </w:r>
      <w:r>
        <w:rPr>
          <w:sz w:val="32"/>
        </w:rPr>
        <w:t>become</w:t>
      </w:r>
      <w:r>
        <w:rPr>
          <w:spacing w:val="-3"/>
          <w:sz w:val="32"/>
        </w:rPr>
        <w:t xml:space="preserve"> </w:t>
      </w:r>
      <w:r>
        <w:rPr>
          <w:sz w:val="32"/>
        </w:rPr>
        <w:t>restrictive compared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traditional programming languages.</w:t>
      </w:r>
    </w:p>
    <w:p w14:paraId="40AE55D9" w14:textId="77777777" w:rsidR="000F5697" w:rsidRDefault="00000000">
      <w:pPr>
        <w:pStyle w:val="Heading2"/>
        <w:numPr>
          <w:ilvl w:val="1"/>
          <w:numId w:val="3"/>
        </w:numPr>
        <w:tabs>
          <w:tab w:val="left" w:pos="719"/>
        </w:tabs>
        <w:spacing w:before="5"/>
        <w:ind w:left="719" w:hanging="359"/>
      </w:pPr>
      <w:r>
        <w:t>Scalability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2"/>
        </w:rPr>
        <w:t>Bottlenecks:</w:t>
      </w:r>
    </w:p>
    <w:p w14:paraId="7B2042BD" w14:textId="77777777" w:rsidR="000F5697" w:rsidRDefault="00000000">
      <w:pPr>
        <w:pStyle w:val="ListParagraph"/>
        <w:numPr>
          <w:ilvl w:val="2"/>
          <w:numId w:val="3"/>
        </w:numPr>
        <w:tabs>
          <w:tab w:val="left" w:pos="1441"/>
        </w:tabs>
        <w:spacing w:before="57" w:line="280" w:lineRule="auto"/>
        <w:ind w:right="351"/>
        <w:rPr>
          <w:sz w:val="32"/>
        </w:rPr>
      </w:pPr>
      <w:r>
        <w:rPr>
          <w:sz w:val="32"/>
        </w:rPr>
        <w:t>Enterprise applications often handle massive transaction volumes, concurrent multi-tier processing, and</w:t>
      </w:r>
      <w:r>
        <w:rPr>
          <w:spacing w:val="-7"/>
          <w:sz w:val="32"/>
        </w:rPr>
        <w:t xml:space="preserve"> </w:t>
      </w:r>
      <w:r>
        <w:rPr>
          <w:sz w:val="32"/>
        </w:rPr>
        <w:t>high-load</w:t>
      </w:r>
      <w:r>
        <w:rPr>
          <w:spacing w:val="-7"/>
          <w:sz w:val="32"/>
        </w:rPr>
        <w:t xml:space="preserve"> </w:t>
      </w:r>
      <w:r>
        <w:rPr>
          <w:sz w:val="32"/>
        </w:rPr>
        <w:t>database</w:t>
      </w:r>
      <w:r>
        <w:rPr>
          <w:spacing w:val="-7"/>
          <w:sz w:val="32"/>
        </w:rPr>
        <w:t xml:space="preserve"> </w:t>
      </w:r>
      <w:r>
        <w:rPr>
          <w:sz w:val="32"/>
        </w:rPr>
        <w:t>queries.</w:t>
      </w:r>
      <w:r>
        <w:rPr>
          <w:spacing w:val="-4"/>
          <w:sz w:val="32"/>
        </w:rPr>
        <w:t xml:space="preserve"> </w:t>
      </w:r>
      <w:r>
        <w:rPr>
          <w:sz w:val="32"/>
        </w:rPr>
        <w:t>Standardized</w:t>
      </w:r>
      <w:r>
        <w:rPr>
          <w:spacing w:val="-8"/>
          <w:sz w:val="32"/>
        </w:rPr>
        <w:t xml:space="preserve"> </w:t>
      </w:r>
      <w:r>
        <w:rPr>
          <w:sz w:val="32"/>
        </w:rPr>
        <w:t>low-code infrastructure can experience performance throttling or rigid multi-tenant resource limits.</w:t>
      </w:r>
    </w:p>
    <w:p w14:paraId="1FAD55DB" w14:textId="77777777" w:rsidR="000F5697" w:rsidRDefault="00000000">
      <w:pPr>
        <w:pStyle w:val="Heading2"/>
        <w:numPr>
          <w:ilvl w:val="1"/>
          <w:numId w:val="3"/>
        </w:numPr>
        <w:tabs>
          <w:tab w:val="left" w:pos="719"/>
        </w:tabs>
        <w:spacing w:line="357" w:lineRule="exact"/>
        <w:ind w:left="719" w:hanging="359"/>
      </w:pPr>
      <w:r>
        <w:t>Vendor</w:t>
      </w:r>
      <w:r>
        <w:rPr>
          <w:spacing w:val="-3"/>
        </w:rPr>
        <w:t xml:space="preserve"> </w:t>
      </w:r>
      <w:r>
        <w:t>Lock-in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Proprietary</w:t>
      </w:r>
      <w:r>
        <w:rPr>
          <w:spacing w:val="-2"/>
        </w:rPr>
        <w:t xml:space="preserve"> Codebases:</w:t>
      </w:r>
    </w:p>
    <w:p w14:paraId="57C37C83" w14:textId="77777777" w:rsidR="000F5697" w:rsidRDefault="000F5697">
      <w:pPr>
        <w:pStyle w:val="Heading2"/>
        <w:spacing w:line="357" w:lineRule="exact"/>
        <w:sectPr w:rsidR="000F5697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18C9226" w14:textId="77777777" w:rsidR="000F5697" w:rsidRDefault="00000000">
      <w:pPr>
        <w:pStyle w:val="ListParagraph"/>
        <w:numPr>
          <w:ilvl w:val="2"/>
          <w:numId w:val="3"/>
        </w:numPr>
        <w:tabs>
          <w:tab w:val="left" w:pos="1441"/>
        </w:tabs>
        <w:spacing w:before="60" w:line="278" w:lineRule="auto"/>
        <w:ind w:right="656"/>
        <w:rPr>
          <w:sz w:val="32"/>
        </w:rPr>
      </w:pPr>
      <w:r>
        <w:rPr>
          <w:sz w:val="32"/>
        </w:rPr>
        <w:lastRenderedPageBreak/>
        <w:t>Code</w:t>
      </w:r>
      <w:r>
        <w:rPr>
          <w:spacing w:val="-6"/>
          <w:sz w:val="32"/>
        </w:rPr>
        <w:t xml:space="preserve"> </w:t>
      </w:r>
      <w:r>
        <w:rPr>
          <w:sz w:val="32"/>
        </w:rPr>
        <w:t>generated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hosted</w:t>
      </w:r>
      <w:r>
        <w:rPr>
          <w:spacing w:val="-7"/>
          <w:sz w:val="32"/>
        </w:rPr>
        <w:t xml:space="preserve"> </w:t>
      </w:r>
      <w:r>
        <w:rPr>
          <w:sz w:val="32"/>
        </w:rPr>
        <w:t>within</w:t>
      </w:r>
      <w:r>
        <w:rPr>
          <w:spacing w:val="-6"/>
          <w:sz w:val="32"/>
        </w:rPr>
        <w:t xml:space="preserve"> </w:t>
      </w:r>
      <w:r>
        <w:rPr>
          <w:sz w:val="32"/>
        </w:rPr>
        <w:t>proprietary</w:t>
      </w:r>
      <w:r>
        <w:rPr>
          <w:spacing w:val="-4"/>
          <w:sz w:val="32"/>
        </w:rPr>
        <w:t xml:space="preserve"> </w:t>
      </w:r>
      <w:r>
        <w:rPr>
          <w:sz w:val="32"/>
        </w:rPr>
        <w:t>low-code ecosystems cannot</w:t>
      </w:r>
      <w:r>
        <w:rPr>
          <w:spacing w:val="-3"/>
          <w:sz w:val="32"/>
        </w:rPr>
        <w:t xml:space="preserve"> </w:t>
      </w:r>
      <w:r>
        <w:rPr>
          <w:sz w:val="32"/>
        </w:rPr>
        <w:t>always be easily exported,</w:t>
      </w:r>
      <w:r>
        <w:rPr>
          <w:spacing w:val="-3"/>
          <w:sz w:val="32"/>
        </w:rPr>
        <w:t xml:space="preserve"> </w:t>
      </w:r>
      <w:r>
        <w:rPr>
          <w:sz w:val="32"/>
        </w:rPr>
        <w:t>ported to independent servers, or refactored using native software engineering toolchains.</w:t>
      </w:r>
    </w:p>
    <w:p w14:paraId="08CF6625" w14:textId="77777777" w:rsidR="000F5697" w:rsidRDefault="00000000">
      <w:pPr>
        <w:pStyle w:val="Heading2"/>
        <w:numPr>
          <w:ilvl w:val="1"/>
          <w:numId w:val="3"/>
        </w:numPr>
        <w:tabs>
          <w:tab w:val="left" w:pos="719"/>
        </w:tabs>
        <w:spacing w:before="3"/>
        <w:ind w:left="719" w:hanging="359"/>
      </w:pPr>
      <w:r>
        <w:t>Complex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rPr>
          <w:spacing w:val="-2"/>
        </w:rPr>
        <w:t>Challenges:</w:t>
      </w:r>
    </w:p>
    <w:p w14:paraId="178E3E9C" w14:textId="77777777" w:rsidR="000F5697" w:rsidRDefault="00000000">
      <w:pPr>
        <w:pStyle w:val="ListParagraph"/>
        <w:numPr>
          <w:ilvl w:val="2"/>
          <w:numId w:val="3"/>
        </w:numPr>
        <w:tabs>
          <w:tab w:val="left" w:pos="1441"/>
        </w:tabs>
        <w:spacing w:before="62" w:line="278" w:lineRule="auto"/>
        <w:ind w:right="731"/>
        <w:rPr>
          <w:sz w:val="32"/>
        </w:rPr>
      </w:pPr>
      <w:r>
        <w:rPr>
          <w:sz w:val="32"/>
        </w:rPr>
        <w:t>Connecting legacy enterprise systems (such as on-premise</w:t>
      </w:r>
      <w:r>
        <w:rPr>
          <w:spacing w:val="-8"/>
          <w:sz w:val="32"/>
        </w:rPr>
        <w:t xml:space="preserve"> </w:t>
      </w:r>
      <w:r>
        <w:rPr>
          <w:sz w:val="32"/>
        </w:rPr>
        <w:t>SAP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11"/>
          <w:sz w:val="32"/>
        </w:rPr>
        <w:t xml:space="preserve"> </w:t>
      </w:r>
      <w:r>
        <w:rPr>
          <w:sz w:val="32"/>
        </w:rPr>
        <w:t>mainframe</w:t>
      </w:r>
      <w:r>
        <w:rPr>
          <w:spacing w:val="-3"/>
          <w:sz w:val="32"/>
        </w:rPr>
        <w:t xml:space="preserve"> </w:t>
      </w:r>
      <w:r>
        <w:rPr>
          <w:sz w:val="32"/>
        </w:rPr>
        <w:t>databases)</w:t>
      </w:r>
      <w:r>
        <w:rPr>
          <w:spacing w:val="-6"/>
          <w:sz w:val="32"/>
        </w:rPr>
        <w:t xml:space="preserve"> </w:t>
      </w:r>
      <w:r>
        <w:rPr>
          <w:sz w:val="32"/>
        </w:rPr>
        <w:t>with</w:t>
      </w:r>
      <w:r>
        <w:rPr>
          <w:spacing w:val="-3"/>
          <w:sz w:val="32"/>
        </w:rPr>
        <w:t xml:space="preserve"> </w:t>
      </w:r>
      <w:r>
        <w:rPr>
          <w:sz w:val="32"/>
        </w:rPr>
        <w:t>low-code platforms can exceed the boundaries of built-in connectors, requiring custom API gateways that neutralize the speed advantages of low-code.</w:t>
      </w:r>
    </w:p>
    <w:p w14:paraId="4704A93F" w14:textId="77777777" w:rsidR="000F5697" w:rsidRDefault="00000000">
      <w:pPr>
        <w:spacing w:before="250" w:line="276" w:lineRule="auto"/>
        <w:ind w:right="402"/>
        <w:rPr>
          <w:b/>
          <w:sz w:val="28"/>
        </w:rPr>
      </w:pPr>
      <w:bookmarkStart w:id="3" w:name="Case_Study_Scenario:_Global_Supply_Chain"/>
      <w:bookmarkEnd w:id="3"/>
      <w:r>
        <w:rPr>
          <w:b/>
          <w:color w:val="0E4660"/>
          <w:sz w:val="28"/>
        </w:rPr>
        <w:t>Case</w:t>
      </w:r>
      <w:r>
        <w:rPr>
          <w:b/>
          <w:color w:val="0E4660"/>
          <w:spacing w:val="-5"/>
          <w:sz w:val="28"/>
        </w:rPr>
        <w:t xml:space="preserve"> </w:t>
      </w:r>
      <w:r>
        <w:rPr>
          <w:b/>
          <w:color w:val="0E4660"/>
          <w:sz w:val="28"/>
        </w:rPr>
        <w:t>Study</w:t>
      </w:r>
      <w:r>
        <w:rPr>
          <w:b/>
          <w:color w:val="0E4660"/>
          <w:spacing w:val="-5"/>
          <w:sz w:val="28"/>
        </w:rPr>
        <w:t xml:space="preserve"> </w:t>
      </w:r>
      <w:r>
        <w:rPr>
          <w:b/>
          <w:color w:val="0E4660"/>
          <w:sz w:val="28"/>
        </w:rPr>
        <w:t>Scenario: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z w:val="28"/>
        </w:rPr>
        <w:t>Global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z w:val="28"/>
        </w:rPr>
        <w:t>Supply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Chain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&amp;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Predictive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 xml:space="preserve">Logistics </w:t>
      </w:r>
      <w:r>
        <w:rPr>
          <w:b/>
          <w:color w:val="0E4660"/>
          <w:spacing w:val="-2"/>
          <w:sz w:val="28"/>
        </w:rPr>
        <w:t>Engine</w:t>
      </w:r>
    </w:p>
    <w:p w14:paraId="18DDAB6C" w14:textId="77777777" w:rsidR="000F5697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80" w:line="278" w:lineRule="auto"/>
        <w:ind w:right="373"/>
        <w:rPr>
          <w:sz w:val="32"/>
        </w:rPr>
      </w:pPr>
      <w:r>
        <w:rPr>
          <w:b/>
          <w:sz w:val="32"/>
        </w:rPr>
        <w:t xml:space="preserve">The Enterprise Requirement: </w:t>
      </w:r>
      <w:r>
        <w:rPr>
          <w:sz w:val="32"/>
        </w:rPr>
        <w:t>A multinational manufacturing company attempted to build an end-to-end global supply chain tracking system that required real-time Internet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Things</w:t>
      </w:r>
      <w:r>
        <w:rPr>
          <w:spacing w:val="-6"/>
          <w:sz w:val="32"/>
        </w:rPr>
        <w:t xml:space="preserve"> </w:t>
      </w:r>
      <w:r>
        <w:rPr>
          <w:sz w:val="32"/>
        </w:rPr>
        <w:t>(IoT)</w:t>
      </w:r>
      <w:r>
        <w:rPr>
          <w:spacing w:val="-7"/>
          <w:sz w:val="32"/>
        </w:rPr>
        <w:t xml:space="preserve"> </w:t>
      </w:r>
      <w:r>
        <w:rPr>
          <w:sz w:val="32"/>
        </w:rPr>
        <w:t>stream</w:t>
      </w:r>
      <w:r>
        <w:rPr>
          <w:spacing w:val="-3"/>
          <w:sz w:val="32"/>
        </w:rPr>
        <w:t xml:space="preserve"> </w:t>
      </w:r>
      <w:r>
        <w:rPr>
          <w:sz w:val="32"/>
        </w:rPr>
        <w:t>processing,</w:t>
      </w:r>
      <w:r>
        <w:rPr>
          <w:spacing w:val="-5"/>
          <w:sz w:val="32"/>
        </w:rPr>
        <w:t xml:space="preserve"> </w:t>
      </w:r>
      <w:r>
        <w:rPr>
          <w:sz w:val="32"/>
        </w:rPr>
        <w:t>complex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machine learning demand-forecasting models, and sub-second inventory adjustments across 50,000 concurrent warehouse </w:t>
      </w:r>
      <w:r>
        <w:rPr>
          <w:spacing w:val="-2"/>
          <w:sz w:val="32"/>
        </w:rPr>
        <w:t>nodes.</w:t>
      </w:r>
    </w:p>
    <w:p w14:paraId="0B05FBA5" w14:textId="77777777" w:rsidR="000F5697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5" w:line="276" w:lineRule="auto"/>
        <w:ind w:right="867"/>
        <w:rPr>
          <w:sz w:val="32"/>
        </w:rPr>
      </w:pPr>
      <w:r>
        <w:rPr>
          <w:b/>
          <w:sz w:val="32"/>
        </w:rPr>
        <w:t>The Platform Chosen (Hypothetical Enterprise Low-Code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Platform):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Selected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its</w:t>
      </w:r>
      <w:r>
        <w:rPr>
          <w:spacing w:val="-6"/>
          <w:sz w:val="32"/>
        </w:rPr>
        <w:t xml:space="preserve"> </w:t>
      </w:r>
      <w:r>
        <w:rPr>
          <w:sz w:val="32"/>
        </w:rPr>
        <w:t>rapid</w:t>
      </w:r>
      <w:r>
        <w:rPr>
          <w:spacing w:val="-4"/>
          <w:sz w:val="32"/>
        </w:rPr>
        <w:t xml:space="preserve"> </w:t>
      </w:r>
      <w:r>
        <w:rPr>
          <w:sz w:val="32"/>
        </w:rPr>
        <w:t>prototyping</w:t>
      </w:r>
      <w:r>
        <w:rPr>
          <w:spacing w:val="-4"/>
          <w:sz w:val="32"/>
        </w:rPr>
        <w:t xml:space="preserve"> </w:t>
      </w:r>
      <w:r>
        <w:rPr>
          <w:sz w:val="32"/>
        </w:rPr>
        <w:t>speed, team familiarity, and built-in database management.</w:t>
      </w:r>
    </w:p>
    <w:p w14:paraId="7F939F43" w14:textId="77777777" w:rsidR="000F5697" w:rsidRDefault="00000000">
      <w:pPr>
        <w:spacing w:before="250"/>
        <w:rPr>
          <w:b/>
          <w:i/>
          <w:sz w:val="24"/>
        </w:rPr>
      </w:pPr>
      <w:bookmarkStart w:id="4" w:name="Identified_Limitations_During_Implementa"/>
      <w:bookmarkEnd w:id="4"/>
      <w:r>
        <w:rPr>
          <w:b/>
          <w:i/>
          <w:color w:val="0E4660"/>
          <w:sz w:val="24"/>
        </w:rPr>
        <w:t>Identified</w:t>
      </w:r>
      <w:r>
        <w:rPr>
          <w:b/>
          <w:i/>
          <w:color w:val="0E4660"/>
          <w:spacing w:val="-4"/>
          <w:sz w:val="24"/>
        </w:rPr>
        <w:t xml:space="preserve"> </w:t>
      </w:r>
      <w:r>
        <w:rPr>
          <w:b/>
          <w:i/>
          <w:color w:val="0E4660"/>
          <w:sz w:val="24"/>
        </w:rPr>
        <w:t>Limitations</w:t>
      </w:r>
      <w:r>
        <w:rPr>
          <w:b/>
          <w:i/>
          <w:color w:val="0E4660"/>
          <w:spacing w:val="-5"/>
          <w:sz w:val="24"/>
        </w:rPr>
        <w:t xml:space="preserve"> </w:t>
      </w:r>
      <w:r>
        <w:rPr>
          <w:b/>
          <w:i/>
          <w:color w:val="0E4660"/>
          <w:sz w:val="24"/>
        </w:rPr>
        <w:t>During</w:t>
      </w:r>
      <w:r>
        <w:rPr>
          <w:b/>
          <w:i/>
          <w:color w:val="0E4660"/>
          <w:spacing w:val="-8"/>
          <w:sz w:val="24"/>
        </w:rPr>
        <w:t xml:space="preserve"> </w:t>
      </w:r>
      <w:r>
        <w:rPr>
          <w:b/>
          <w:i/>
          <w:color w:val="0E4660"/>
          <w:spacing w:val="-2"/>
          <w:sz w:val="24"/>
        </w:rPr>
        <w:t>Implementation:</w:t>
      </w:r>
    </w:p>
    <w:p w14:paraId="5D51C1A1" w14:textId="77777777" w:rsidR="000F5697" w:rsidRDefault="000F5697">
      <w:pPr>
        <w:pStyle w:val="BodyText"/>
        <w:spacing w:before="88"/>
        <w:ind w:firstLine="0"/>
        <w:rPr>
          <w:b/>
          <w:i/>
          <w:sz w:val="24"/>
        </w:rPr>
      </w:pPr>
    </w:p>
    <w:p w14:paraId="247E13BC" w14:textId="77777777" w:rsidR="000F569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78" w:lineRule="auto"/>
        <w:ind w:right="461"/>
        <w:rPr>
          <w:sz w:val="32"/>
        </w:rPr>
      </w:pPr>
      <w:r>
        <w:rPr>
          <w:b/>
          <w:sz w:val="32"/>
        </w:rPr>
        <w:t>Customization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Wall: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business</w:t>
      </w:r>
      <w:r>
        <w:rPr>
          <w:spacing w:val="-10"/>
          <w:sz w:val="32"/>
        </w:rPr>
        <w:t xml:space="preserve"> </w:t>
      </w:r>
      <w:r>
        <w:rPr>
          <w:sz w:val="32"/>
        </w:rPr>
        <w:t>logic</w:t>
      </w:r>
      <w:r>
        <w:rPr>
          <w:spacing w:val="-6"/>
          <w:sz w:val="32"/>
        </w:rPr>
        <w:t xml:space="preserve"> </w:t>
      </w:r>
      <w:r>
        <w:rPr>
          <w:sz w:val="32"/>
        </w:rPr>
        <w:t>required</w:t>
      </w:r>
      <w:r>
        <w:rPr>
          <w:spacing w:val="-8"/>
          <w:sz w:val="32"/>
        </w:rPr>
        <w:t xml:space="preserve"> </w:t>
      </w:r>
      <w:r>
        <w:rPr>
          <w:sz w:val="32"/>
        </w:rPr>
        <w:t>advanced multi-variable optimization algorithms that could not be adequately expressed using standard drag-and-drop workflow nodes or basic scripting languages, forcing</w:t>
      </w:r>
    </w:p>
    <w:p w14:paraId="13C7C966" w14:textId="77777777" w:rsidR="000F5697" w:rsidRDefault="000F5697">
      <w:pPr>
        <w:pStyle w:val="ListParagraph"/>
        <w:spacing w:line="278" w:lineRule="auto"/>
        <w:rPr>
          <w:sz w:val="32"/>
        </w:rPr>
        <w:sectPr w:rsidR="000F5697">
          <w:pgSz w:w="12240" w:h="15840"/>
          <w:pgMar w:top="1380" w:right="1080" w:bottom="280" w:left="1440" w:header="720" w:footer="720" w:gutter="0"/>
          <w:cols w:space="720"/>
        </w:sectPr>
      </w:pPr>
    </w:p>
    <w:p w14:paraId="72860713" w14:textId="77777777" w:rsidR="000F5697" w:rsidRDefault="00000000">
      <w:pPr>
        <w:pStyle w:val="BodyText"/>
        <w:spacing w:before="60" w:line="280" w:lineRule="auto"/>
        <w:ind w:left="721" w:firstLine="0"/>
      </w:pPr>
      <w:r>
        <w:lastRenderedPageBreak/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complex,</w:t>
      </w:r>
      <w:r>
        <w:rPr>
          <w:spacing w:val="-10"/>
        </w:rPr>
        <w:t xml:space="preserve"> </w:t>
      </w:r>
      <w:r>
        <w:t>hard-to-maintain</w:t>
      </w:r>
      <w:r>
        <w:rPr>
          <w:spacing w:val="-5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 xml:space="preserve">script </w:t>
      </w:r>
      <w:r>
        <w:rPr>
          <w:spacing w:val="-2"/>
        </w:rPr>
        <w:t>blocks.</w:t>
      </w:r>
    </w:p>
    <w:p w14:paraId="1ACA4683" w14:textId="77777777" w:rsidR="000F569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568"/>
        <w:rPr>
          <w:sz w:val="32"/>
        </w:rPr>
      </w:pPr>
      <w:r>
        <w:rPr>
          <w:b/>
          <w:sz w:val="32"/>
        </w:rPr>
        <w:t xml:space="preserve">Database Schema Rigidity: </w:t>
      </w:r>
      <w:r>
        <w:rPr>
          <w:sz w:val="32"/>
        </w:rPr>
        <w:t>Relational constraints and high-frequency</w:t>
      </w:r>
      <w:r>
        <w:rPr>
          <w:spacing w:val="-6"/>
          <w:sz w:val="32"/>
        </w:rPr>
        <w:t xml:space="preserve"> </w:t>
      </w:r>
      <w:r>
        <w:rPr>
          <w:sz w:val="32"/>
        </w:rPr>
        <w:t>IoT</w:t>
      </w:r>
      <w:r>
        <w:rPr>
          <w:spacing w:val="-11"/>
          <w:sz w:val="32"/>
        </w:rPr>
        <w:t xml:space="preserve"> </w:t>
      </w:r>
      <w:r>
        <w:rPr>
          <w:sz w:val="32"/>
        </w:rPr>
        <w:t>write</w:t>
      </w:r>
      <w:r>
        <w:rPr>
          <w:spacing w:val="-4"/>
          <w:sz w:val="32"/>
        </w:rPr>
        <w:t xml:space="preserve"> </w:t>
      </w:r>
      <w:r>
        <w:rPr>
          <w:sz w:val="32"/>
        </w:rPr>
        <w:t>operations</w:t>
      </w:r>
      <w:r>
        <w:rPr>
          <w:spacing w:val="-10"/>
          <w:sz w:val="32"/>
        </w:rPr>
        <w:t xml:space="preserve"> </w:t>
      </w:r>
      <w:r>
        <w:rPr>
          <w:sz w:val="32"/>
        </w:rPr>
        <w:t>caused</w:t>
      </w:r>
      <w:r>
        <w:rPr>
          <w:spacing w:val="-4"/>
          <w:sz w:val="32"/>
        </w:rPr>
        <w:t xml:space="preserve"> </w:t>
      </w:r>
      <w:r>
        <w:rPr>
          <w:sz w:val="32"/>
        </w:rPr>
        <w:t>database</w:t>
      </w:r>
      <w:r>
        <w:rPr>
          <w:spacing w:val="-9"/>
          <w:sz w:val="32"/>
        </w:rPr>
        <w:t xml:space="preserve"> </w:t>
      </w:r>
      <w:r>
        <w:rPr>
          <w:sz w:val="32"/>
        </w:rPr>
        <w:t>query timeouts due to the platform's automated abstraction layer, preventing fine-tuned query execution plans and custom indexing control.</w:t>
      </w:r>
    </w:p>
    <w:p w14:paraId="5CFFC490" w14:textId="77777777" w:rsidR="000F569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78" w:lineRule="auto"/>
        <w:ind w:right="517"/>
        <w:rPr>
          <w:sz w:val="32"/>
        </w:rPr>
      </w:pPr>
      <w:r>
        <w:rPr>
          <w:b/>
          <w:sz w:val="32"/>
        </w:rPr>
        <w:t xml:space="preserve">Licensing and Scaling Costs: </w:t>
      </w:r>
      <w:r>
        <w:rPr>
          <w:sz w:val="32"/>
        </w:rPr>
        <w:t>As transaction volumes scaled</w:t>
      </w:r>
      <w:r>
        <w:rPr>
          <w:spacing w:val="-2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z w:val="32"/>
        </w:rPr>
        <w:t>millions</w:t>
      </w:r>
      <w:r>
        <w:rPr>
          <w:spacing w:val="-4"/>
          <w:sz w:val="32"/>
        </w:rPr>
        <w:t xml:space="preserve"> </w:t>
      </w:r>
      <w:r>
        <w:rPr>
          <w:sz w:val="32"/>
        </w:rPr>
        <w:t>per</w:t>
      </w:r>
      <w:r>
        <w:rPr>
          <w:spacing w:val="-5"/>
          <w:sz w:val="32"/>
        </w:rPr>
        <w:t xml:space="preserve"> </w:t>
      </w:r>
      <w:r>
        <w:rPr>
          <w:sz w:val="32"/>
        </w:rPr>
        <w:t>day,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platform's</w:t>
      </w:r>
      <w:r>
        <w:rPr>
          <w:spacing w:val="-4"/>
          <w:sz w:val="32"/>
        </w:rPr>
        <w:t xml:space="preserve"> </w:t>
      </w:r>
      <w:r>
        <w:rPr>
          <w:sz w:val="32"/>
        </w:rPr>
        <w:t>tier-based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pricing model and API call consumption limits made the low-code approach significantly more expensive than an optimized, containerized microservices architecture built on cloud </w:t>
      </w:r>
      <w:r>
        <w:rPr>
          <w:spacing w:val="-2"/>
          <w:sz w:val="32"/>
        </w:rPr>
        <w:t>infrastructure.</w:t>
      </w:r>
    </w:p>
    <w:p w14:paraId="5B24B243" w14:textId="77777777" w:rsidR="000F5697" w:rsidRDefault="00000000">
      <w:pPr>
        <w:spacing w:before="247"/>
        <w:rPr>
          <w:b/>
          <w:sz w:val="28"/>
        </w:rPr>
      </w:pPr>
      <w:bookmarkStart w:id="5" w:name="Result"/>
      <w:bookmarkEnd w:id="5"/>
      <w:r>
        <w:rPr>
          <w:b/>
          <w:color w:val="0E4660"/>
          <w:spacing w:val="-2"/>
          <w:sz w:val="28"/>
        </w:rPr>
        <w:t>Result</w:t>
      </w:r>
    </w:p>
    <w:p w14:paraId="29D78809" w14:textId="77777777" w:rsidR="000F5697" w:rsidRDefault="000F5697">
      <w:pPr>
        <w:pStyle w:val="BodyText"/>
        <w:spacing w:before="8"/>
        <w:ind w:firstLine="0"/>
        <w:rPr>
          <w:b/>
          <w:sz w:val="28"/>
        </w:rPr>
      </w:pPr>
    </w:p>
    <w:p w14:paraId="4C8A96FD" w14:textId="77777777" w:rsidR="000F5697" w:rsidRDefault="00000000">
      <w:pPr>
        <w:pStyle w:val="BodyText"/>
        <w:spacing w:line="278" w:lineRule="auto"/>
        <w:ind w:right="402" w:firstLine="0"/>
      </w:pP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low-code</w:t>
      </w:r>
      <w:r>
        <w:rPr>
          <w:spacing w:val="-4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excel at fast delivery for departmental tools and lightweight business workflows, they present critical structural limitations for complex enterprise systems. Factors such as rigid customization boundaries, scalability ceilings, vendor lock-in, and unpredictable scaling costs mean that highly intricate software projects ultimately require traditional application development</w:t>
      </w:r>
      <w:r>
        <w:rPr>
          <w:spacing w:val="-3"/>
        </w:rPr>
        <w:t xml:space="preserve"> </w:t>
      </w:r>
      <w:r>
        <w:t xml:space="preserve">approaches to ensure absolute flexibility, performance, and long-term </w:t>
      </w:r>
      <w:r>
        <w:rPr>
          <w:spacing w:val="-2"/>
        </w:rPr>
        <w:t>maintainability.</w:t>
      </w:r>
    </w:p>
    <w:sectPr w:rsidR="000F5697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7D42"/>
    <w:multiLevelType w:val="hybridMultilevel"/>
    <w:tmpl w:val="4044BB06"/>
    <w:lvl w:ilvl="0" w:tplc="8320E89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C3C828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BCC87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2C8904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6CCA2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8AC278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F44C5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7DA2C9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28084F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3A562A"/>
    <w:multiLevelType w:val="hybridMultilevel"/>
    <w:tmpl w:val="B58894FC"/>
    <w:lvl w:ilvl="0" w:tplc="EFA2D11C">
      <w:start w:val="13"/>
      <w:numFmt w:val="decimal"/>
      <w:lvlText w:val="%1."/>
      <w:lvlJc w:val="left"/>
      <w:pPr>
        <w:ind w:left="681" w:hanging="665"/>
        <w:jc w:val="left"/>
      </w:pPr>
      <w:rPr>
        <w:rFonts w:ascii="Arial" w:eastAsia="Arial" w:hAnsi="Arial" w:cs="Arial" w:hint="default"/>
        <w:b/>
        <w:bCs/>
        <w:i w:val="0"/>
        <w:iCs w:val="0"/>
        <w:color w:val="0E4660"/>
        <w:spacing w:val="-2"/>
        <w:w w:val="100"/>
        <w:sz w:val="46"/>
        <w:szCs w:val="46"/>
        <w:lang w:val="en-US" w:eastAsia="en-US" w:bidi="ar-SA"/>
      </w:rPr>
    </w:lvl>
    <w:lvl w:ilvl="1" w:tplc="A5009D38">
      <w:start w:val="1"/>
      <w:numFmt w:val="decimal"/>
      <w:lvlText w:val="%2."/>
      <w:lvlJc w:val="left"/>
      <w:pPr>
        <w:ind w:left="72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FD765EEE">
      <w:start w:val="1"/>
      <w:numFmt w:val="lowerLetter"/>
      <w:lvlText w:val="%3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plc="61602A8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05E09C6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D8A83238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04DCDB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A3AA47AC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2494B066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A8251F"/>
    <w:multiLevelType w:val="hybridMultilevel"/>
    <w:tmpl w:val="90BE550E"/>
    <w:lvl w:ilvl="0" w:tplc="86D4FAEA">
      <w:start w:val="1"/>
      <w:numFmt w:val="decimal"/>
      <w:lvlText w:val="%1."/>
      <w:lvlJc w:val="left"/>
      <w:pPr>
        <w:ind w:left="72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7D46AC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A45B7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A16023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BC96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6405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B2CE2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D8888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E2AA01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036491469">
    <w:abstractNumId w:val="2"/>
  </w:num>
  <w:num w:numId="2" w16cid:durableId="560209811">
    <w:abstractNumId w:val="0"/>
  </w:num>
  <w:num w:numId="3" w16cid:durableId="107146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97"/>
    <w:rsid w:val="0009345B"/>
    <w:rsid w:val="000F5697"/>
    <w:rsid w:val="00E3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45E4"/>
  <w15:docId w15:val="{F3E72B88-07FE-4401-BF43-EB6090FC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681" w:right="729" w:hanging="305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hanging="36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Sivasankari Balasubramanian</cp:lastModifiedBy>
  <cp:revision>2</cp:revision>
  <dcterms:created xsi:type="dcterms:W3CDTF">2026-10-25T12:26:00Z</dcterms:created>
  <dcterms:modified xsi:type="dcterms:W3CDTF">2026-10-25T12:26:00Z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