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F8EA" w14:textId="11F8E980" w:rsidR="0022369B" w:rsidRPr="008E311D" w:rsidRDefault="006201EB" w:rsidP="008E311D">
      <w:pPr>
        <w:jc w:val="center"/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Implementation Plan</w:t>
      </w:r>
    </w:p>
    <w:p w14:paraId="6B285395" w14:textId="531FBF54" w:rsidR="006201EB" w:rsidRPr="008E311D" w:rsidRDefault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 xml:space="preserve">The implementation plan is structured into 4 phases </w:t>
      </w:r>
    </w:p>
    <w:p w14:paraId="1314804B" w14:textId="77777777" w:rsidR="006201EB" w:rsidRPr="008E311D" w:rsidRDefault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Phase 0: </w:t>
      </w:r>
    </w:p>
    <w:p w14:paraId="709D0812" w14:textId="72CAECF9" w:rsidR="006201EB" w:rsidRPr="008E311D" w:rsidRDefault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Before any policy change goes live, lock in where effort is concentrated and establish the baseline numbers every later phase will be measured against. (Weeks 1-2)</w:t>
      </w:r>
    </w:p>
    <w:p w14:paraId="71A72FC2" w14:textId="1B8AC2EF" w:rsidR="006201EB" w:rsidRPr="008E311D" w:rsidRDefault="006201EB" w:rsidP="006201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Prioritise City Hotel in the rollout sequence for every action below — it carries the largest share of lost revenue (Rs. 1.09 Cr, 66% of total loss) so fixes here return value fastest.</w:t>
      </w:r>
    </w:p>
    <w:p w14:paraId="2D46C187" w14:textId="2976E9BA" w:rsidR="006201EB" w:rsidRPr="008E311D" w:rsidRDefault="006201EB" w:rsidP="006201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Freeze current baseline metrics (overall cancellation rate, revenue lost, rate by hotel/segment) so every later phase can be measured against a fixed “before” picture.</w:t>
      </w:r>
    </w:p>
    <w:p w14:paraId="2018A39A" w14:textId="32E3FC95" w:rsidR="006201EB" w:rsidRPr="008E311D" w:rsidRDefault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Phase 1:</w:t>
      </w:r>
    </w:p>
    <w:p w14:paraId="2E7E7058" w14:textId="1EA150A9" w:rsidR="006201EB" w:rsidRPr="008E311D" w:rsidRDefault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Quick Wins - Low Effort, Immediate Effect (Weeks 2-4)</w:t>
      </w:r>
    </w:p>
    <w:p w14:paraId="4FB7067D" w14:textId="3263D51F" w:rsidR="006201EB" w:rsidRPr="008E311D" w:rsidRDefault="006201EB" w:rsidP="006201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Charge the guest's card at time of booking, not at check-in, so a “Non-Refundable” rate actually carries a financial consequence.</w:t>
      </w:r>
    </w:p>
    <w:p w14:paraId="704C1AA3" w14:textId="25C2DD92" w:rsidR="006201EB" w:rsidRPr="008E311D" w:rsidRDefault="006201EB" w:rsidP="006201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 xml:space="preserve">Auto-flag any booking where </w:t>
      </w:r>
      <w:proofErr w:type="spellStart"/>
      <w:r w:rsidRPr="008E311D">
        <w:rPr>
          <w:rFonts w:ascii="Times New Roman" w:hAnsi="Times New Roman" w:cs="Times New Roman"/>
          <w:sz w:val="23"/>
          <w:szCs w:val="23"/>
        </w:rPr>
        <w:t>previous_cancellations</w:t>
      </w:r>
      <w:proofErr w:type="spellEnd"/>
      <w:r w:rsidRPr="008E311D">
        <w:rPr>
          <w:rFonts w:ascii="Times New Roman" w:hAnsi="Times New Roman" w:cs="Times New Roman"/>
          <w:sz w:val="23"/>
          <w:szCs w:val="23"/>
        </w:rPr>
        <w:t xml:space="preserve"> &gt; 0 at the point of booking; require prepayment or a mandatory confirmation call before the reservation is finalised.</w:t>
      </w:r>
    </w:p>
    <w:p w14:paraId="42634F93" w14:textId="47EC1CCA" w:rsidR="006201EB" w:rsidRPr="008E311D" w:rsidRDefault="006201EB" w:rsidP="006201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Introduce small loyalty/incentive nudges at booking (e.g., free breakfast for confirming) to increase guest commitment — cheaper than losing the room outright, and improves repeat-booking odds</w:t>
      </w:r>
    </w:p>
    <w:p w14:paraId="740BEDF8" w14:textId="2EC50F00" w:rsidR="006201EB" w:rsidRPr="008E311D" w:rsidRDefault="006201EB" w:rsidP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Phase 2:</w:t>
      </w:r>
    </w:p>
    <w:p w14:paraId="3819BC7C" w14:textId="0B303D3E" w:rsidR="006201EB" w:rsidRPr="008E311D" w:rsidRDefault="006201EB" w:rsidP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Segment-Specific Fixes (Month 2)</w:t>
      </w:r>
    </w:p>
    <w:p w14:paraId="77921B85" w14:textId="5B2516A0" w:rsidR="006201EB" w:rsidRPr="008E311D" w:rsidRDefault="006201EB" w:rsidP="006201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Introduce a tiered deposit for Group bookings (e.g., 20% for 5+ rooms, scaling up for larger blocks) plus a mandatory reconfirmation 14-21 days before arrival, since organisers often lose track of headcount changes. Frame reconfirmation as a value-add (“confirm to unlock late checkout”) rather than a warning, so genuine guests are not alarmed.</w:t>
      </w:r>
    </w:p>
    <w:p w14:paraId="4BA07DC6" w14:textId="03E1DE0B" w:rsidR="006201EB" w:rsidRPr="008E311D" w:rsidRDefault="006201EB" w:rsidP="006201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Treat “City Hotel + TA/TO + Transient” as one combined risk profile rather than three separate issues, and apply the tightened terms below specifically to this overlapping population first.</w:t>
      </w:r>
    </w:p>
    <w:p w14:paraId="56751AB4" w14:textId="6CD55BB6" w:rsidR="006201EB" w:rsidRPr="008E311D" w:rsidRDefault="006201EB" w:rsidP="006201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Negotiate stricter cancellation terms with high-volume OTA partners, and reduce the default visibility of “free cancellation” rate plans on channels StayWell controls directly.</w:t>
      </w:r>
    </w:p>
    <w:p w14:paraId="647FF4C8" w14:textId="536FA9C0" w:rsidR="006201EB" w:rsidRPr="008E311D" w:rsidRDefault="006201EB" w:rsidP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Phase 3:</w:t>
      </w:r>
    </w:p>
    <w:p w14:paraId="323E3028" w14:textId="6ED580D6" w:rsidR="006201EB" w:rsidRPr="008E311D" w:rsidRDefault="006201EB" w:rsidP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Systemic Rollout - Structural and Longer-Term (Month 3+)</w:t>
      </w:r>
    </w:p>
    <w:p w14:paraId="4BC855AB" w14:textId="0B42A20E" w:rsidR="006201EB" w:rsidRPr="008E311D" w:rsidRDefault="006201EB" w:rsidP="006201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 xml:space="preserve">Build a real-time cancellation-risk score at the point of booking, combining </w:t>
      </w:r>
      <w:proofErr w:type="spellStart"/>
      <w:r w:rsidRPr="008E311D">
        <w:rPr>
          <w:rFonts w:ascii="Times New Roman" w:hAnsi="Times New Roman" w:cs="Times New Roman"/>
          <w:sz w:val="23"/>
          <w:szCs w:val="23"/>
        </w:rPr>
        <w:t>deposit_type</w:t>
      </w:r>
      <w:proofErr w:type="spellEnd"/>
      <w:r w:rsidRPr="008E311D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8E311D">
        <w:rPr>
          <w:rFonts w:ascii="Times New Roman" w:hAnsi="Times New Roman" w:cs="Times New Roman"/>
          <w:sz w:val="23"/>
          <w:szCs w:val="23"/>
        </w:rPr>
        <w:t>market_segment</w:t>
      </w:r>
      <w:proofErr w:type="spellEnd"/>
      <w:r w:rsidRPr="008E311D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8E311D">
        <w:rPr>
          <w:rFonts w:ascii="Times New Roman" w:hAnsi="Times New Roman" w:cs="Times New Roman"/>
          <w:sz w:val="23"/>
          <w:szCs w:val="23"/>
        </w:rPr>
        <w:t>previous_cancellations</w:t>
      </w:r>
      <w:proofErr w:type="spellEnd"/>
      <w:r w:rsidRPr="008E311D">
        <w:rPr>
          <w:rFonts w:ascii="Times New Roman" w:hAnsi="Times New Roman" w:cs="Times New Roman"/>
          <w:sz w:val="23"/>
          <w:szCs w:val="23"/>
        </w:rPr>
        <w:t xml:space="preserve">, and </w:t>
      </w:r>
      <w:proofErr w:type="spellStart"/>
      <w:r w:rsidRPr="008E311D">
        <w:rPr>
          <w:rFonts w:ascii="Times New Roman" w:hAnsi="Times New Roman" w:cs="Times New Roman"/>
          <w:sz w:val="23"/>
          <w:szCs w:val="23"/>
        </w:rPr>
        <w:t>booking_changes</w:t>
      </w:r>
      <w:proofErr w:type="spellEnd"/>
      <w:r w:rsidRPr="008E311D">
        <w:rPr>
          <w:rFonts w:ascii="Times New Roman" w:hAnsi="Times New Roman" w:cs="Times New Roman"/>
          <w:sz w:val="23"/>
          <w:szCs w:val="23"/>
        </w:rPr>
        <w:t>. Even a simple rules-based flag lets front-desk/revenue teams prioritise which bookings need a confirmation call, instead of treating every booking the same.</w:t>
      </w:r>
    </w:p>
    <w:p w14:paraId="70CE8B88" w14:textId="5DA1C18B" w:rsidR="006201EB" w:rsidRPr="008E311D" w:rsidRDefault="006201EB" w:rsidP="006201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Introduce a dynamic overbooking buffer, calibrated per hotel and segment — a higher buffer for City Hotel + TA/TO + Groups, a lower buffer for Corporate/Resort — to recover some of the revenue currently lost to empty-room cancellations.</w:t>
      </w:r>
    </w:p>
    <w:p w14:paraId="1BBA3F5F" w14:textId="2B7F083D" w:rsidR="006201EB" w:rsidRPr="008E311D" w:rsidRDefault="006201EB" w:rsidP="006201E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 xml:space="preserve">Launch a sales push to move Transient bookings toward corporate-style commitment (deposits, contracts). Corporate-linked bookings currently cancel at only 17.5-18.6%, </w:t>
      </w:r>
      <w:r w:rsidRPr="008E311D">
        <w:rPr>
          <w:rFonts w:ascii="Times New Roman" w:hAnsi="Times New Roman" w:cs="Times New Roman"/>
          <w:sz w:val="23"/>
          <w:szCs w:val="23"/>
        </w:rPr>
        <w:lastRenderedPageBreak/>
        <w:t>versus about 38-41% for everyone else — the goal is to shift enough volume that blended cancellation rates trend toward 18-20%.</w:t>
      </w:r>
    </w:p>
    <w:p w14:paraId="0EDBD33B" w14:textId="5B7C3F15" w:rsidR="006201EB" w:rsidRPr="008E311D" w:rsidRDefault="006201EB" w:rsidP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What to expect:</w:t>
      </w:r>
    </w:p>
    <w:p w14:paraId="6EF96329" w14:textId="6D1CEFD8" w:rsidR="006201EB" w:rsidRPr="008E311D" w:rsidRDefault="006201EB" w:rsidP="006201EB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 xml:space="preserve">Growth expected after Q1: </w:t>
      </w:r>
    </w:p>
    <w:p w14:paraId="3A0FD643" w14:textId="77777777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Non-Refund deposit cancellation rate falls from 99.4% toward 50% or lower.</w:t>
      </w:r>
    </w:p>
    <w:p w14:paraId="28FE947F" w14:textId="2EB59A18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Repeat-canceller bookings are pre-screened at 100% coverage before check-in.</w:t>
      </w:r>
    </w:p>
    <w:p w14:paraId="6BB04454" w14:textId="77777777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Group booking cancellation rate falls from 61.1%, with reconfirmation response above 70%.</w:t>
      </w:r>
    </w:p>
    <w:p w14:paraId="62A6A673" w14:textId="4472329E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City Hotel's share of total revenue lost declines from its current 66%.</w:t>
      </w:r>
    </w:p>
    <w:p w14:paraId="3EF559B5" w14:textId="77777777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A working cancellation-risk score is live and used by Front Office for at least high-risk bookings.</w:t>
      </w:r>
    </w:p>
    <w:p w14:paraId="63F7D7CD" w14:textId="657F39E9" w:rsidR="006201EB" w:rsidRPr="008E311D" w:rsidRDefault="006201EB" w:rsidP="006201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Corporate-linked booking volume is growing quarter over quarter as a share of total bookings</w:t>
      </w:r>
    </w:p>
    <w:p w14:paraId="793B7632" w14:textId="460FFEAA" w:rsidR="006201EB" w:rsidRPr="008E311D" w:rsidRDefault="006201EB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Team</w:t>
      </w:r>
      <w:r w:rsidR="008E311D"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 xml:space="preserve"> Targets</w:t>
      </w: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:</w:t>
      </w:r>
    </w:p>
    <w:p w14:paraId="71934F22" w14:textId="2456A234" w:rsidR="006201EB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 xml:space="preserve">Revenue Management </w:t>
      </w:r>
      <w:r w:rsidRPr="008E311D">
        <w:rPr>
          <w:rFonts w:ascii="Times New Roman" w:hAnsi="Times New Roman" w:cs="Times New Roman"/>
          <w:sz w:val="23"/>
          <w:szCs w:val="23"/>
        </w:rPr>
        <w:t>- Deposit policy enforcement, risk scoring, overbooking buffer, City Hotel prioritisation, baseline tracking</w:t>
      </w:r>
    </w:p>
    <w:p w14:paraId="5BE7D164" w14:textId="64564E56" w:rsidR="008E311D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>Front Office</w:t>
      </w:r>
      <w:r w:rsidRPr="008E311D">
        <w:rPr>
          <w:rFonts w:ascii="Times New Roman" w:hAnsi="Times New Roman" w:cs="Times New Roman"/>
          <w:sz w:val="23"/>
          <w:szCs w:val="23"/>
        </w:rPr>
        <w:t xml:space="preserve"> - Confirmation calls for flagged bookings, Group reconfirmation outreach</w:t>
      </w:r>
    </w:p>
    <w:p w14:paraId="77D95266" w14:textId="2BC4CE11" w:rsidR="008E311D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>IT / Digital</w:t>
      </w:r>
      <w:r w:rsidRPr="008E311D">
        <w:rPr>
          <w:rFonts w:ascii="Times New Roman" w:hAnsi="Times New Roman" w:cs="Times New Roman"/>
          <w:sz w:val="23"/>
          <w:szCs w:val="23"/>
        </w:rPr>
        <w:t xml:space="preserve"> - At-booking card charging, risk-score implementation in the booking engine</w:t>
      </w:r>
    </w:p>
    <w:p w14:paraId="1223711F" w14:textId="3CA7B92B" w:rsidR="008E311D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>Marketing</w:t>
      </w:r>
      <w:r w:rsidRPr="008E311D">
        <w:rPr>
          <w:rFonts w:ascii="Times New Roman" w:hAnsi="Times New Roman" w:cs="Times New Roman"/>
          <w:sz w:val="23"/>
          <w:szCs w:val="23"/>
        </w:rPr>
        <w:t xml:space="preserve"> - Loyalty/incentive nudges, pre-arrival re-confirmation messaging</w:t>
      </w:r>
    </w:p>
    <w:p w14:paraId="450A08C2" w14:textId="16C036B4" w:rsidR="008E311D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>Distribution / Revenue Mgmt.</w:t>
      </w:r>
      <w:r w:rsidRPr="008E311D">
        <w:rPr>
          <w:rFonts w:ascii="Times New Roman" w:hAnsi="Times New Roman" w:cs="Times New Roman"/>
          <w:sz w:val="23"/>
          <w:szCs w:val="23"/>
        </w:rPr>
        <w:t xml:space="preserve"> - OTA partner negotiations, rate-plan visibility changes</w:t>
      </w:r>
    </w:p>
    <w:p w14:paraId="6D747AF6" w14:textId="0C2FEAA4" w:rsidR="008E311D" w:rsidRPr="008E311D" w:rsidRDefault="008E311D" w:rsidP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</w:rPr>
        <w:t>Sales / Corporate Accounts</w:t>
      </w:r>
      <w:r w:rsidRPr="008E311D">
        <w:rPr>
          <w:rFonts w:ascii="Times New Roman" w:hAnsi="Times New Roman" w:cs="Times New Roman"/>
          <w:sz w:val="23"/>
          <w:szCs w:val="23"/>
        </w:rPr>
        <w:t xml:space="preserve"> - Corporate rate agreement growth, Transient-to-corporate conversion push</w:t>
      </w:r>
    </w:p>
    <w:p w14:paraId="7A3D0259" w14:textId="77777777" w:rsidR="008E311D" w:rsidRPr="008E311D" w:rsidRDefault="008E311D">
      <w:pPr>
        <w:rPr>
          <w:rFonts w:ascii="Times New Roman" w:hAnsi="Times New Roman" w:cs="Times New Roman"/>
          <w:sz w:val="23"/>
          <w:szCs w:val="23"/>
        </w:rPr>
      </w:pPr>
    </w:p>
    <w:p w14:paraId="4E8CCEA4" w14:textId="1E6F2FE7" w:rsidR="008E311D" w:rsidRPr="008E311D" w:rsidRDefault="008E311D">
      <w:pPr>
        <w:rPr>
          <w:rFonts w:ascii="Times New Roman" w:hAnsi="Times New Roman" w:cs="Times New Roman"/>
          <w:b/>
          <w:bCs/>
          <w:sz w:val="23"/>
          <w:szCs w:val="23"/>
          <w:u w:val="single"/>
        </w:rPr>
      </w:pPr>
      <w:r w:rsidRPr="008E311D">
        <w:rPr>
          <w:rFonts w:ascii="Times New Roman" w:hAnsi="Times New Roman" w:cs="Times New Roman"/>
          <w:b/>
          <w:bCs/>
          <w:sz w:val="23"/>
          <w:szCs w:val="23"/>
          <w:u w:val="single"/>
        </w:rPr>
        <w:t>Overall Outcome:</w:t>
      </w:r>
    </w:p>
    <w:p w14:paraId="5D1C7D6E" w14:textId="42B08559" w:rsidR="008E311D" w:rsidRPr="008E311D" w:rsidRDefault="008E311D">
      <w:pPr>
        <w:rPr>
          <w:rFonts w:ascii="Times New Roman" w:hAnsi="Times New Roman" w:cs="Times New Roman"/>
          <w:sz w:val="23"/>
          <w:szCs w:val="23"/>
        </w:rPr>
      </w:pPr>
      <w:r w:rsidRPr="008E311D">
        <w:rPr>
          <w:rFonts w:ascii="Times New Roman" w:hAnsi="Times New Roman" w:cs="Times New Roman"/>
          <w:sz w:val="23"/>
          <w:szCs w:val="23"/>
        </w:rPr>
        <w:t>This plan sequences fixes by ease of execution and revenue impact. City Hotel is prioritised throughout, since it accounts for the largest share (Rs. 1.09 Cr, 66%) of total revenue lost to cancellations. Each phase lists the specific action, which finding it addresses, who owns it, and how success will be measured</w:t>
      </w:r>
    </w:p>
    <w:sectPr w:rsidR="008E311D" w:rsidRPr="008E31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B46"/>
    <w:multiLevelType w:val="hybridMultilevel"/>
    <w:tmpl w:val="85D23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B461B"/>
    <w:multiLevelType w:val="hybridMultilevel"/>
    <w:tmpl w:val="29EE1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81893"/>
    <w:multiLevelType w:val="hybridMultilevel"/>
    <w:tmpl w:val="C77096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5F0015"/>
    <w:multiLevelType w:val="hybridMultilevel"/>
    <w:tmpl w:val="FF16A3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861F3"/>
    <w:multiLevelType w:val="hybridMultilevel"/>
    <w:tmpl w:val="E83266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B4E12"/>
    <w:multiLevelType w:val="hybridMultilevel"/>
    <w:tmpl w:val="82989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6434527">
    <w:abstractNumId w:val="0"/>
  </w:num>
  <w:num w:numId="2" w16cid:durableId="632296639">
    <w:abstractNumId w:val="1"/>
  </w:num>
  <w:num w:numId="3" w16cid:durableId="874542270">
    <w:abstractNumId w:val="3"/>
  </w:num>
  <w:num w:numId="4" w16cid:durableId="1881552890">
    <w:abstractNumId w:val="5"/>
  </w:num>
  <w:num w:numId="5" w16cid:durableId="1545171353">
    <w:abstractNumId w:val="4"/>
  </w:num>
  <w:num w:numId="6" w16cid:durableId="422917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1EB"/>
    <w:rsid w:val="000F0DB8"/>
    <w:rsid w:val="00116051"/>
    <w:rsid w:val="0022369B"/>
    <w:rsid w:val="006201EB"/>
    <w:rsid w:val="008E311D"/>
    <w:rsid w:val="00986702"/>
    <w:rsid w:val="00A748BC"/>
    <w:rsid w:val="00FB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D5C3"/>
  <w15:chartTrackingRefBased/>
  <w15:docId w15:val="{CE2325D5-4BBC-4D57-AEFA-500EC6624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Sivasubramaniyan C</dc:creator>
  <cp:keywords/>
  <dc:description/>
  <cp:lastModifiedBy>Sivasubramaniyan C</cp:lastModifiedBy>
  <cp:revision>2</cp:revision>
  <dcterms:created xsi:type="dcterms:W3CDTF">2026-08-11T19:17:00Z</dcterms:created>
  <dcterms:modified xsi:type="dcterms:W3CDTF">2026-08-11T19:17:00Z</dcterms:modified>
</cp:coreProperties>
</file>