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85A3E" w14:textId="7CF767F9" w:rsidR="00D1288B" w:rsidRPr="00724EDB" w:rsidRDefault="00D1288B" w:rsidP="0032761F">
      <w:pPr>
        <w:pStyle w:val="Header"/>
        <w:jc w:val="center"/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>SUMMARY REPORT</w:t>
      </w:r>
    </w:p>
    <w:p w14:paraId="2691A1D8" w14:textId="7948722E" w:rsidR="00D1288B" w:rsidRPr="0032761F" w:rsidRDefault="00D1288B" w:rsidP="0032761F">
      <w:pPr>
        <w:pStyle w:val="Header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24EDB">
        <w:rPr>
          <w:rFonts w:ascii="Times New Roman" w:hAnsi="Times New Roman" w:cs="Times New Roman"/>
          <w:color w:val="4472C4" w:themeColor="accent1"/>
          <w:sz w:val="24"/>
          <w:szCs w:val="24"/>
        </w:rPr>
        <w:t>SIVATEJA PATHIPATI</w:t>
      </w:r>
    </w:p>
    <w:p w14:paraId="3BFA96D0" w14:textId="130086EE" w:rsidR="00D1288B" w:rsidRPr="00724EDB" w:rsidRDefault="00D1288B" w:rsidP="00D1288B">
      <w:pPr>
        <w:pStyle w:val="Header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24EDB">
        <w:rPr>
          <w:rFonts w:ascii="Times New Roman" w:hAnsi="Times New Roman" w:cs="Times New Roman"/>
          <w:color w:val="000000" w:themeColor="text1"/>
          <w:sz w:val="24"/>
          <w:szCs w:val="24"/>
        </w:rPr>
        <w:t>DATE:-</w:t>
      </w:r>
      <w:proofErr w:type="gramEnd"/>
      <w:r w:rsidRPr="00724E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29</w:t>
      </w:r>
      <w:r w:rsidRPr="00724EDB">
        <w:rPr>
          <w:rFonts w:ascii="Times New Roman" w:hAnsi="Times New Roman" w:cs="Times New Roman"/>
          <w:color w:val="000000" w:themeColor="text1"/>
          <w:sz w:val="24"/>
          <w:szCs w:val="24"/>
        </w:rPr>
        <w:t>-APR-2024</w:t>
      </w:r>
    </w:p>
    <w:p w14:paraId="17787E02" w14:textId="727E1390" w:rsidR="00D1288B" w:rsidRPr="00724EDB" w:rsidRDefault="0032761F" w:rsidP="00D1288B">
      <w:pPr>
        <w:jc w:val="center"/>
        <w:rPr>
          <w:rFonts w:ascii="Times New Roman" w:hAnsi="Times New Roman" w:cs="Times New Roman"/>
        </w:rPr>
      </w:pPr>
      <w:r w:rsidRPr="00724E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D2308" wp14:editId="408B9EE0">
                <wp:simplePos x="0" y="0"/>
                <wp:positionH relativeFrom="page">
                  <wp:posOffset>274320</wp:posOffset>
                </wp:positionH>
                <wp:positionV relativeFrom="paragraph">
                  <wp:posOffset>133350</wp:posOffset>
                </wp:positionV>
                <wp:extent cx="7536180" cy="22276"/>
                <wp:effectExtent l="0" t="0" r="26670" b="34925"/>
                <wp:wrapNone/>
                <wp:docPr id="16502586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180" cy="22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A1423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.6pt,10.5pt" to="6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486E168" w14:textId="77777777" w:rsidR="00C67674" w:rsidRDefault="00C67674"/>
    <w:p w14:paraId="5A49E113" w14:textId="7187321F" w:rsidR="00725C23" w:rsidRDefault="000D5313" w:rsidP="00F83738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CB010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9)</w:t>
      </w:r>
      <w:r w:rsidR="00B76DBB" w:rsidRPr="00CB010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Describing Segment (step 7)</w:t>
      </w:r>
    </w:p>
    <w:p w14:paraId="4DB4D187" w14:textId="6A9AB144" w:rsidR="00117D6A" w:rsidRDefault="002A1C7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684D0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9</w:t>
      </w:r>
      <w:r w:rsidR="00684D0C" w:rsidRPr="00684D0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.1) Developing a Complete Picture of Market Segments</w:t>
      </w:r>
      <w:r w:rsidR="00D5424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</w:p>
    <w:p w14:paraId="7F7BB34E" w14:textId="3266783A" w:rsidR="005C7FEF" w:rsidRPr="00F56B73" w:rsidRDefault="00672E16" w:rsidP="000A0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is similar to</w:t>
      </w:r>
      <w:r w:rsidR="003C44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profiling step</w:t>
      </w:r>
      <w:r w:rsidR="00F56B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C4E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only difference is that the variable being inspected have not been used to extrac</w:t>
      </w:r>
      <w:r w:rsidR="00F56B73">
        <w:rPr>
          <w:rFonts w:ascii="Times New Roman" w:hAnsi="Times New Roman" w:cs="Times New Roman"/>
          <w:color w:val="000000" w:themeColor="text1"/>
          <w:sz w:val="24"/>
          <w:szCs w:val="24"/>
        </w:rPr>
        <w:t>t market segment</w:t>
      </w:r>
      <w:r w:rsidR="00C23E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58A44E" w14:textId="2BBDFB82" w:rsidR="00F56B73" w:rsidRPr="00D416F7" w:rsidRDefault="00F56B73" w:rsidP="000A0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Market segments are described using addition</w:t>
      </w:r>
      <w:r w:rsidR="0048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information about segment members (instead of </w:t>
      </w:r>
      <w:r w:rsidR="00D416F7">
        <w:rPr>
          <w:rFonts w:ascii="Times New Roman" w:hAnsi="Times New Roman" w:cs="Times New Roman"/>
          <w:color w:val="000000" w:themeColor="text1"/>
          <w:sz w:val="24"/>
          <w:szCs w:val="24"/>
        </w:rPr>
        <w:t>variables used in extraction step)</w:t>
      </w:r>
      <w:r w:rsidR="00C23E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3B2BE7" w14:textId="30D9B9E9" w:rsidR="00394341" w:rsidRPr="00394341" w:rsidRDefault="00B31F8E" w:rsidP="000A0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Segments should be further described</w:t>
      </w:r>
      <w:r w:rsidR="00D52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(profiling)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typified by crossing</w:t>
      </w:r>
      <w:r w:rsidR="006D73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them with all other variables</w:t>
      </w:r>
      <w:r w:rsidR="005F0A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(i.e. to avoid nasty </w:t>
      </w:r>
      <w:r w:rsidR="00394341">
        <w:rPr>
          <w:rFonts w:ascii="Times New Roman" w:hAnsi="Times New Roman" w:cs="Times New Roman"/>
          <w:color w:val="000000" w:themeColor="text1"/>
          <w:sz w:val="24"/>
          <w:szCs w:val="24"/>
        </w:rPr>
        <w:t>surprises</w:t>
      </w:r>
      <w:r w:rsidR="005F0AD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23E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0C707F" w14:textId="3772A9D7" w:rsidR="00C23E5C" w:rsidRPr="00C23E5C" w:rsidRDefault="00E43A3A" w:rsidP="000A0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Profiling means</w:t>
      </w:r>
      <w:r w:rsidR="004F0D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investigating difference between se</w:t>
      </w:r>
      <w:r w:rsidR="00D06397">
        <w:rPr>
          <w:rFonts w:ascii="Times New Roman" w:hAnsi="Times New Roman" w:cs="Times New Roman"/>
          <w:color w:val="000000" w:themeColor="text1"/>
          <w:sz w:val="24"/>
          <w:szCs w:val="24"/>
        </w:rPr>
        <w:t>gments</w:t>
      </w:r>
      <w:r w:rsidR="00A548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respect to motive variables</w:t>
      </w:r>
      <w:r w:rsidR="008509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3E5C">
        <w:rPr>
          <w:rFonts w:ascii="Times New Roman" w:hAnsi="Times New Roman" w:cs="Times New Roman"/>
          <w:color w:val="000000" w:themeColor="text1"/>
          <w:sz w:val="24"/>
          <w:szCs w:val="24"/>
        </w:rPr>
        <w:t>(used for extraction step)</w:t>
      </w:r>
      <w:r w:rsidR="00A548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3E5C">
        <w:rPr>
          <w:rFonts w:ascii="Times New Roman" w:hAnsi="Times New Roman" w:cs="Times New Roman"/>
          <w:color w:val="000000" w:themeColor="text1"/>
          <w:sz w:val="24"/>
          <w:szCs w:val="24"/>
        </w:rPr>
        <w:t>themselves.</w:t>
      </w:r>
    </w:p>
    <w:p w14:paraId="3013EA2E" w14:textId="4441A4B0" w:rsidR="000A0DC7" w:rsidRPr="00480793" w:rsidRDefault="00A54876" w:rsidP="000A0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2EB6">
        <w:rPr>
          <w:rFonts w:ascii="Times New Roman" w:hAnsi="Times New Roman" w:cs="Times New Roman"/>
          <w:color w:val="000000" w:themeColor="text1"/>
          <w:sz w:val="24"/>
          <w:szCs w:val="24"/>
        </w:rPr>
        <w:t>But the segment description step uses additional information</w:t>
      </w:r>
      <w:r w:rsidR="0041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segment members</w:t>
      </w:r>
      <w:r w:rsidR="00A50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variables (like Age, gender</w:t>
      </w:r>
      <w:r w:rsidR="006E2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other behaviours</w:t>
      </w:r>
      <w:r w:rsidR="00BE1CEA">
        <w:rPr>
          <w:rFonts w:ascii="Times New Roman" w:hAnsi="Times New Roman" w:cs="Times New Roman"/>
          <w:color w:val="000000" w:themeColor="text1"/>
          <w:sz w:val="24"/>
          <w:szCs w:val="24"/>
        </w:rPr>
        <w:t>) that are typically not used</w:t>
      </w:r>
      <w:r w:rsidR="005D0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target segmentation extraction</w:t>
      </w:r>
      <w:r w:rsidR="000A0D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These additional variables are </w:t>
      </w:r>
      <w:r w:rsidR="00480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referred to as </w:t>
      </w:r>
      <w:r w:rsidR="004807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Descriptor Variables.</w:t>
      </w:r>
    </w:p>
    <w:p w14:paraId="57B374DC" w14:textId="5A3B064D" w:rsidR="00680E9B" w:rsidRPr="00680E9B" w:rsidRDefault="00F52D8B" w:rsidP="00680E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description of market </w:t>
      </w:r>
      <w:r w:rsidR="00294C35">
        <w:rPr>
          <w:rFonts w:ascii="Times New Roman" w:hAnsi="Times New Roman" w:cs="Times New Roman"/>
          <w:color w:val="000000" w:themeColor="text1"/>
          <w:sz w:val="24"/>
          <w:szCs w:val="24"/>
        </w:rPr>
        <w:t>segments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0E9B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critical to </w:t>
      </w:r>
      <w:r w:rsidR="00294C35">
        <w:rPr>
          <w:rFonts w:ascii="Times New Roman" w:hAnsi="Times New Roman" w:cs="Times New Roman"/>
          <w:color w:val="000000" w:themeColor="text1"/>
          <w:sz w:val="24"/>
          <w:szCs w:val="24"/>
        </w:rPr>
        <w:t>gaining</w:t>
      </w:r>
      <w:r w:rsidR="002A59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29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etailed insight into nature of </w:t>
      </w:r>
      <w:r w:rsidR="002A59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segments and segments descriptions are essential </w:t>
      </w:r>
      <w:r w:rsidR="00680E9B">
        <w:rPr>
          <w:rFonts w:ascii="Times New Roman" w:hAnsi="Times New Roman" w:cs="Times New Roman"/>
          <w:color w:val="000000" w:themeColor="text1"/>
          <w:sz w:val="24"/>
          <w:szCs w:val="24"/>
        </w:rPr>
        <w:t>for the development of a customised marketing mix</w:t>
      </w:r>
    </w:p>
    <w:p w14:paraId="77FE248A" w14:textId="4809F457" w:rsidR="00680E9B" w:rsidRPr="00B5509E" w:rsidRDefault="008A4B48" w:rsidP="00680E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 ways to study the difference between market segments with respect to </w:t>
      </w:r>
      <w:r w:rsidR="00B5509E">
        <w:rPr>
          <w:rFonts w:ascii="Times New Roman" w:hAnsi="Times New Roman" w:cs="Times New Roman"/>
          <w:color w:val="000000" w:themeColor="text1"/>
          <w:sz w:val="24"/>
          <w:szCs w:val="24"/>
        </w:rPr>
        <w:t>descriptor variables</w:t>
      </w:r>
    </w:p>
    <w:p w14:paraId="4211BC3B" w14:textId="68F544D1" w:rsidR="00B5509E" w:rsidRPr="00B5509E" w:rsidRDefault="00B5509E" w:rsidP="00B5509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Description statistics including visualization</w:t>
      </w:r>
    </w:p>
    <w:p w14:paraId="0FFAB446" w14:textId="77777777" w:rsidR="0099487F" w:rsidRPr="0099487F" w:rsidRDefault="00C518EC" w:rsidP="00B5509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analyse </w:t>
      </w:r>
      <w:r w:rsidR="00A56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using infernal </w:t>
      </w:r>
      <w:proofErr w:type="gramStart"/>
      <w:r w:rsidR="00A56D59">
        <w:rPr>
          <w:rFonts w:ascii="Times New Roman" w:hAnsi="Times New Roman" w:cs="Times New Roman"/>
          <w:color w:val="000000" w:themeColor="text1"/>
          <w:sz w:val="24"/>
          <w:szCs w:val="24"/>
        </w:rPr>
        <w:t>statistics</w:t>
      </w:r>
      <w:r w:rsidR="002922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292293">
        <w:rPr>
          <w:rFonts w:ascii="Times New Roman" w:hAnsi="Times New Roman" w:cs="Times New Roman"/>
          <w:color w:val="000000" w:themeColor="text1"/>
          <w:sz w:val="24"/>
          <w:szCs w:val="24"/>
        </w:rPr>
        <w:t>statistical testing and tabular presentation of differences in descr</w:t>
      </w:r>
      <w:r w:rsidR="0099487F">
        <w:rPr>
          <w:rFonts w:ascii="Times New Roman" w:hAnsi="Times New Roman" w:cs="Times New Roman"/>
          <w:color w:val="000000" w:themeColor="text1"/>
          <w:sz w:val="24"/>
          <w:szCs w:val="24"/>
        </w:rPr>
        <w:t>iptor variables)</w:t>
      </w:r>
    </w:p>
    <w:p w14:paraId="41D9A2CE" w14:textId="26C5F1C9" w:rsidR="00B5509E" w:rsidRDefault="00CC6258" w:rsidP="0099487F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0C7EF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9.2) Using Visualisation to Describe Market Segments</w:t>
      </w:r>
      <w:r w:rsidR="000C7EF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  <w:r w:rsidR="000C7EF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ab/>
      </w:r>
    </w:p>
    <w:p w14:paraId="39B84B39" w14:textId="7BE3BE95" w:rsidR="000C7EFD" w:rsidRPr="00B815A5" w:rsidRDefault="00D47225" w:rsidP="001107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Graphical representation</w:t>
      </w:r>
      <w:r w:rsidR="00326763">
        <w:rPr>
          <w:rFonts w:ascii="Times New Roman" w:hAnsi="Times New Roman" w:cs="Times New Roman"/>
          <w:sz w:val="24"/>
          <w:szCs w:val="24"/>
        </w:rPr>
        <w:t xml:space="preserve">s serve to transmit the very essence of marketing </w:t>
      </w:r>
      <w:r w:rsidR="00B815A5">
        <w:rPr>
          <w:rFonts w:ascii="Times New Roman" w:hAnsi="Times New Roman" w:cs="Times New Roman"/>
          <w:sz w:val="24"/>
          <w:szCs w:val="24"/>
        </w:rPr>
        <w:t>research result</w:t>
      </w:r>
    </w:p>
    <w:p w14:paraId="6004860E" w14:textId="11D3F39F" w:rsidR="00B815A5" w:rsidRPr="00F91A64" w:rsidRDefault="00F75995" w:rsidP="001107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descriptor variables are divided into</w:t>
      </w:r>
    </w:p>
    <w:p w14:paraId="5099D016" w14:textId="4789AC6E" w:rsidR="005C699E" w:rsidRPr="00154310" w:rsidRDefault="00F91A64" w:rsidP="0015431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Nominal and Ordinal descriptor variables</w:t>
      </w:r>
      <w:r w:rsidR="005C6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C699E">
        <w:rPr>
          <w:rFonts w:ascii="Times New Roman" w:hAnsi="Times New Roman" w:cs="Times New Roman"/>
          <w:sz w:val="24"/>
          <w:szCs w:val="24"/>
        </w:rPr>
        <w:t>ex: gender, level of education, etc.)</w:t>
      </w:r>
    </w:p>
    <w:p w14:paraId="740F456D" w14:textId="504FF5D4" w:rsidR="00154310" w:rsidRPr="003B6152" w:rsidRDefault="00154310" w:rsidP="0015431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Metric descriptor variable</w:t>
      </w:r>
      <w:r w:rsidR="003B6152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B6152">
        <w:rPr>
          <w:rFonts w:ascii="Times New Roman" w:hAnsi="Times New Roman" w:cs="Times New Roman"/>
          <w:sz w:val="24"/>
          <w:szCs w:val="24"/>
        </w:rPr>
        <w:t xml:space="preserve">ex: </w:t>
      </w:r>
      <w:r>
        <w:rPr>
          <w:rFonts w:ascii="Times New Roman" w:hAnsi="Times New Roman" w:cs="Times New Roman"/>
          <w:sz w:val="24"/>
          <w:szCs w:val="24"/>
        </w:rPr>
        <w:t xml:space="preserve">age, </w:t>
      </w:r>
      <w:r w:rsidR="003B6152">
        <w:rPr>
          <w:rFonts w:ascii="Times New Roman" w:hAnsi="Times New Roman" w:cs="Times New Roman"/>
          <w:sz w:val="24"/>
          <w:szCs w:val="24"/>
        </w:rPr>
        <w:t>money spent, etc.)</w:t>
      </w:r>
    </w:p>
    <w:p w14:paraId="7BCD02BC" w14:textId="5AEA5C93" w:rsidR="003B6152" w:rsidRDefault="006678A1" w:rsidP="003B61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46FC">
        <w:rPr>
          <w:rFonts w:ascii="Times New Roman" w:hAnsi="Times New Roman" w:cs="Times New Roman"/>
          <w:b/>
          <w:bCs/>
          <w:sz w:val="28"/>
          <w:szCs w:val="28"/>
        </w:rPr>
        <w:t>9.2.1) Nominal and Descriptor Variables:</w:t>
      </w:r>
    </w:p>
    <w:p w14:paraId="17521C12" w14:textId="187578B8" w:rsidR="005346FC" w:rsidRPr="00622869" w:rsidRDefault="00622869" w:rsidP="00DF4F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For visualisation we need a cross tabulation of segment membership with descriptor variable</w:t>
      </w:r>
    </w:p>
    <w:p w14:paraId="67CF6E85" w14:textId="222CCB81" w:rsidR="00622869" w:rsidRPr="00FC13E9" w:rsidRDefault="00622869" w:rsidP="00DF4F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is done by </w:t>
      </w:r>
      <w:r w:rsidR="006770FC">
        <w:rPr>
          <w:rFonts w:ascii="Times New Roman" w:hAnsi="Times New Roman" w:cs="Times New Roman"/>
          <w:sz w:val="24"/>
          <w:szCs w:val="24"/>
        </w:rPr>
        <w:t xml:space="preserve">adding segment membership as a </w:t>
      </w:r>
      <w:r w:rsidR="00731DFC">
        <w:rPr>
          <w:rFonts w:ascii="Times New Roman" w:hAnsi="Times New Roman" w:cs="Times New Roman"/>
          <w:sz w:val="24"/>
          <w:szCs w:val="24"/>
        </w:rPr>
        <w:t>categorical variable</w:t>
      </w:r>
      <w:r w:rsidR="006770FC">
        <w:rPr>
          <w:rFonts w:ascii="Times New Roman" w:hAnsi="Times New Roman" w:cs="Times New Roman"/>
          <w:sz w:val="24"/>
          <w:szCs w:val="24"/>
        </w:rPr>
        <w:t xml:space="preserve"> to the data frame of </w:t>
      </w:r>
      <w:r w:rsidR="00FC13E9">
        <w:rPr>
          <w:rFonts w:ascii="Times New Roman" w:hAnsi="Times New Roman" w:cs="Times New Roman"/>
          <w:sz w:val="24"/>
          <w:szCs w:val="24"/>
        </w:rPr>
        <w:t>descriptor variables</w:t>
      </w:r>
    </w:p>
    <w:p w14:paraId="769B8975" w14:textId="486668F5" w:rsidR="00FC13E9" w:rsidRPr="00E53B7F" w:rsidRDefault="00FC13E9" w:rsidP="00DF4F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using a stacked bar chart </w:t>
      </w:r>
      <w:r w:rsidR="00E53B7F">
        <w:rPr>
          <w:rFonts w:ascii="Times New Roman" w:hAnsi="Times New Roman" w:cs="Times New Roman"/>
          <w:sz w:val="24"/>
          <w:szCs w:val="24"/>
        </w:rPr>
        <w:t xml:space="preserve">better to use </w:t>
      </w:r>
      <w:r w:rsidR="00E53B7F" w:rsidRPr="00E53B7F">
        <w:rPr>
          <w:rFonts w:ascii="Times New Roman" w:hAnsi="Times New Roman" w:cs="Times New Roman"/>
          <w:b/>
          <w:bCs/>
          <w:sz w:val="24"/>
          <w:szCs w:val="24"/>
        </w:rPr>
        <w:t>Mosaic plot</w:t>
      </w:r>
    </w:p>
    <w:p w14:paraId="6187B61B" w14:textId="2272D6A9" w:rsidR="00E53B7F" w:rsidRPr="0080155C" w:rsidRDefault="0080155C" w:rsidP="00DF4F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 mosaic plot</w:t>
      </w:r>
    </w:p>
    <w:p w14:paraId="1EFB634B" w14:textId="015080A2" w:rsidR="0080155C" w:rsidRPr="00D025E8" w:rsidRDefault="00C25897" w:rsidP="0080155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Width of the bar indicates the absolute segment size</w:t>
      </w:r>
    </w:p>
    <w:p w14:paraId="58B1DFFA" w14:textId="1375A097" w:rsidR="00D025E8" w:rsidRPr="008831DD" w:rsidRDefault="00D025E8" w:rsidP="0080155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Each bar </w:t>
      </w:r>
      <w:r w:rsidR="008831DD">
        <w:rPr>
          <w:rFonts w:ascii="Times New Roman" w:hAnsi="Times New Roman" w:cs="Times New Roman"/>
          <w:sz w:val="24"/>
          <w:szCs w:val="24"/>
        </w:rPr>
        <w:t xml:space="preserve">has same </w:t>
      </w:r>
      <w:r w:rsidR="00731DFC">
        <w:rPr>
          <w:rFonts w:ascii="Times New Roman" w:hAnsi="Times New Roman" w:cs="Times New Roman"/>
          <w:sz w:val="24"/>
          <w:szCs w:val="24"/>
        </w:rPr>
        <w:t>height but</w:t>
      </w:r>
      <w:r w:rsidR="008831DD">
        <w:rPr>
          <w:rFonts w:ascii="Times New Roman" w:hAnsi="Times New Roman" w:cs="Times New Roman"/>
          <w:sz w:val="24"/>
          <w:szCs w:val="24"/>
        </w:rPr>
        <w:t xml:space="preserve"> it is divided into multiple slots (rectangles)</w:t>
      </w:r>
    </w:p>
    <w:p w14:paraId="46ECA6C7" w14:textId="552AE23C" w:rsidR="008831DD" w:rsidRPr="00095335" w:rsidRDefault="00095335" w:rsidP="0080155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Height of the rectangle represent portion of each descriptor variable</w:t>
      </w:r>
    </w:p>
    <w:p w14:paraId="59BC9B42" w14:textId="7422F396" w:rsidR="00095335" w:rsidRPr="00D21DA3" w:rsidRDefault="007C022D" w:rsidP="0080155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note the </w:t>
      </w:r>
      <w:r w:rsidR="004B159A">
        <w:rPr>
          <w:rFonts w:ascii="Times New Roman" w:hAnsi="Times New Roman" w:cs="Times New Roman"/>
          <w:sz w:val="24"/>
          <w:szCs w:val="24"/>
        </w:rPr>
        <w:t>difference, colouring is used based on Pearson residuals(p-value)</w:t>
      </w:r>
    </w:p>
    <w:p w14:paraId="176351A9" w14:textId="7C993D4A" w:rsidR="00D21DA3" w:rsidRPr="00D21DA3" w:rsidRDefault="0036011F" w:rsidP="0080155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White dashed border</w:t>
      </w:r>
      <w:r w:rsidR="00D21DA3">
        <w:rPr>
          <w:rFonts w:ascii="Times New Roman" w:hAnsi="Times New Roman" w:cs="Times New Roman"/>
          <w:sz w:val="24"/>
          <w:szCs w:val="24"/>
        </w:rPr>
        <w:t xml:space="preserve"> implies lower than expected but not much difference</w:t>
      </w:r>
    </w:p>
    <w:p w14:paraId="053275A0" w14:textId="7775FF8E" w:rsidR="00D21DA3" w:rsidRPr="008B1A94" w:rsidRDefault="0036011F" w:rsidP="0080155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White solid border implies higher t</w:t>
      </w:r>
      <w:r w:rsidR="008B1A94">
        <w:rPr>
          <w:rFonts w:ascii="Times New Roman" w:hAnsi="Times New Roman" w:cs="Times New Roman"/>
          <w:sz w:val="24"/>
          <w:szCs w:val="24"/>
        </w:rPr>
        <w:t>han expected but not much difference</w:t>
      </w:r>
    </w:p>
    <w:p w14:paraId="3422DAF6" w14:textId="0F3C9F0B" w:rsidR="008B1A94" w:rsidRPr="00DD190B" w:rsidRDefault="008B1A94" w:rsidP="0080155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Red implies lower than expected </w:t>
      </w:r>
      <w:r w:rsidR="00DD190B">
        <w:rPr>
          <w:rFonts w:ascii="Times New Roman" w:hAnsi="Times New Roman" w:cs="Times New Roman"/>
          <w:sz w:val="24"/>
          <w:szCs w:val="24"/>
        </w:rPr>
        <w:t>but with significant difference</w:t>
      </w:r>
    </w:p>
    <w:p w14:paraId="6945029A" w14:textId="532B81D0" w:rsidR="00DD190B" w:rsidRPr="00612960" w:rsidRDefault="00DD190B" w:rsidP="0080155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Blue implies higher than expected but with significant di</w:t>
      </w:r>
      <w:r w:rsidR="007D3EAF">
        <w:rPr>
          <w:rFonts w:ascii="Times New Roman" w:hAnsi="Times New Roman" w:cs="Times New Roman"/>
          <w:sz w:val="24"/>
          <w:szCs w:val="24"/>
        </w:rPr>
        <w:t>fference</w:t>
      </w:r>
    </w:p>
    <w:p w14:paraId="18BC395D" w14:textId="0BE28D1B" w:rsidR="00612960" w:rsidRDefault="0064528A" w:rsidP="006129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9.2.2) Metric Descriptor Variables</w:t>
      </w:r>
    </w:p>
    <w:p w14:paraId="36333DAF" w14:textId="4C4BF3A9" w:rsidR="0064528A" w:rsidRPr="00254FCE" w:rsidRDefault="007E7933" w:rsidP="006452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DFC">
        <w:rPr>
          <w:rFonts w:ascii="Times New Roman" w:hAnsi="Times New Roman" w:cs="Times New Roman"/>
          <w:sz w:val="24"/>
          <w:szCs w:val="24"/>
        </w:rPr>
        <w:t>Here</w:t>
      </w:r>
      <w:r w:rsidR="00731DFC" w:rsidRPr="00731DFC">
        <w:rPr>
          <w:rFonts w:ascii="Times New Roman" w:hAnsi="Times New Roman" w:cs="Times New Roman"/>
          <w:sz w:val="24"/>
          <w:szCs w:val="24"/>
        </w:rPr>
        <w:t xml:space="preserve"> conditional plots are used because they </w:t>
      </w:r>
      <w:r w:rsidR="00C94317">
        <w:rPr>
          <w:rFonts w:ascii="Times New Roman" w:hAnsi="Times New Roman" w:cs="Times New Roman"/>
          <w:sz w:val="24"/>
          <w:szCs w:val="24"/>
        </w:rPr>
        <w:t xml:space="preserve">are well suited for visualizing difference between market segments </w:t>
      </w:r>
      <w:r w:rsidR="00254FCE">
        <w:rPr>
          <w:rFonts w:ascii="Times New Roman" w:hAnsi="Times New Roman" w:cs="Times New Roman"/>
          <w:sz w:val="24"/>
          <w:szCs w:val="24"/>
        </w:rPr>
        <w:t>using metric descriptor variables</w:t>
      </w:r>
    </w:p>
    <w:p w14:paraId="6A9988BB" w14:textId="0868FA32" w:rsidR="00254FCE" w:rsidRPr="0080600A" w:rsidRDefault="00254FCE" w:rsidP="006452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visualisation </w:t>
      </w:r>
      <w:r w:rsidR="0080600A"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00A">
        <w:rPr>
          <w:rFonts w:ascii="Times New Roman" w:hAnsi="Times New Roman" w:cs="Times New Roman"/>
          <w:sz w:val="24"/>
          <w:szCs w:val="24"/>
        </w:rPr>
        <w:t>Histograms</w:t>
      </w:r>
      <w:r w:rsidR="007A7D73">
        <w:rPr>
          <w:rFonts w:ascii="Times New Roman" w:hAnsi="Times New Roman" w:cs="Times New Roman"/>
          <w:sz w:val="24"/>
          <w:szCs w:val="24"/>
        </w:rPr>
        <w:t xml:space="preserve"> (total n plots for n segments)</w:t>
      </w:r>
      <w:r w:rsidR="0080600A">
        <w:rPr>
          <w:rFonts w:ascii="Times New Roman" w:hAnsi="Times New Roman" w:cs="Times New Roman"/>
          <w:sz w:val="24"/>
          <w:szCs w:val="24"/>
        </w:rPr>
        <w:t>, Boxplots. Whisker plots etc.</w:t>
      </w:r>
    </w:p>
    <w:p w14:paraId="2CA6AD9E" w14:textId="3B62F06F" w:rsidR="0080600A" w:rsidRPr="00595C2A" w:rsidRDefault="007A7D73" w:rsidP="007A7D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histograms x-axis</w:t>
      </w:r>
      <w:r w:rsidR="006A1754">
        <w:rPr>
          <w:rFonts w:ascii="Times New Roman" w:hAnsi="Times New Roman" w:cs="Times New Roman"/>
          <w:sz w:val="24"/>
          <w:szCs w:val="24"/>
        </w:rPr>
        <w:t xml:space="preserve"> is descriptor variable and y- axis segment percentage </w:t>
      </w:r>
      <w:proofErr w:type="gramStart"/>
      <w:r w:rsidR="006A1754">
        <w:rPr>
          <w:rFonts w:ascii="Times New Roman" w:hAnsi="Times New Roman" w:cs="Times New Roman"/>
          <w:sz w:val="24"/>
          <w:szCs w:val="24"/>
        </w:rPr>
        <w:t>and  total</w:t>
      </w:r>
      <w:proofErr w:type="gramEnd"/>
      <w:r w:rsidR="006A1754">
        <w:rPr>
          <w:rFonts w:ascii="Times New Roman" w:hAnsi="Times New Roman" w:cs="Times New Roman"/>
          <w:sz w:val="24"/>
          <w:szCs w:val="24"/>
        </w:rPr>
        <w:t xml:space="preserve"> n plots for </w:t>
      </w:r>
      <w:r w:rsidR="00F6098D">
        <w:rPr>
          <w:rFonts w:ascii="Times New Roman" w:hAnsi="Times New Roman" w:cs="Times New Roman"/>
          <w:sz w:val="24"/>
          <w:szCs w:val="24"/>
        </w:rPr>
        <w:t>each segment of n target segments</w:t>
      </w:r>
    </w:p>
    <w:p w14:paraId="5749DAE2" w14:textId="06D6FFD6" w:rsidR="00595C2A" w:rsidRPr="00886F97" w:rsidRDefault="003C3E6E" w:rsidP="007A7D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and whisker</w:t>
      </w:r>
      <w:r w:rsidR="00CE13CA">
        <w:rPr>
          <w:rFonts w:ascii="Times New Roman" w:hAnsi="Times New Roman" w:cs="Times New Roman"/>
          <w:sz w:val="24"/>
          <w:szCs w:val="24"/>
        </w:rPr>
        <w:t xml:space="preserve"> plots have y axis as descriptor variable and x – axis as </w:t>
      </w:r>
      <w:r w:rsidR="006C6D33">
        <w:rPr>
          <w:rFonts w:ascii="Times New Roman" w:hAnsi="Times New Roman" w:cs="Times New Roman"/>
          <w:sz w:val="24"/>
          <w:szCs w:val="24"/>
        </w:rPr>
        <w:t>target segments and total of 1 plot</w:t>
      </w:r>
    </w:p>
    <w:p w14:paraId="3EF208AF" w14:textId="0BB0E0B3" w:rsidR="00886F97" w:rsidRPr="001830D5" w:rsidRDefault="00886F97" w:rsidP="007A7D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Segment Level Stability across Solution </w:t>
      </w:r>
      <w:r w:rsidR="001B0703">
        <w:rPr>
          <w:rFonts w:ascii="Times New Roman" w:hAnsi="Times New Roman" w:cs="Times New Roman"/>
          <w:sz w:val="24"/>
          <w:szCs w:val="24"/>
        </w:rPr>
        <w:t xml:space="preserve">(SLSa) plot can also be plotted based on descriptor </w:t>
      </w:r>
      <w:r w:rsidR="00B447CE">
        <w:rPr>
          <w:rFonts w:ascii="Times New Roman" w:hAnsi="Times New Roman" w:cs="Times New Roman"/>
          <w:sz w:val="24"/>
          <w:szCs w:val="24"/>
        </w:rPr>
        <w:t>variables</w:t>
      </w:r>
    </w:p>
    <w:p w14:paraId="222FE226" w14:textId="351DE664" w:rsidR="001830D5" w:rsidRDefault="005C7B03" w:rsidP="005C7B03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626DD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9.3) Testing for segment difference </w:t>
      </w:r>
      <w:r w:rsidR="00626DDA" w:rsidRPr="00626DD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 Descriptor Variables:</w:t>
      </w:r>
    </w:p>
    <w:p w14:paraId="506521C5" w14:textId="57241863" w:rsidR="00A538AF" w:rsidRPr="00F71993" w:rsidRDefault="00744E3F" w:rsidP="00A538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outcome of segment extraction step (step 5) is </w:t>
      </w:r>
      <w:r w:rsidR="00CC53AF">
        <w:rPr>
          <w:rFonts w:ascii="Times New Roman" w:hAnsi="Times New Roman" w:cs="Times New Roman"/>
          <w:sz w:val="24"/>
          <w:szCs w:val="24"/>
        </w:rPr>
        <w:t>segment membership, i.e. The assig</w:t>
      </w:r>
      <w:r w:rsidR="00F71993">
        <w:rPr>
          <w:rFonts w:ascii="Times New Roman" w:hAnsi="Times New Roman" w:cs="Times New Roman"/>
          <w:sz w:val="24"/>
          <w:szCs w:val="24"/>
        </w:rPr>
        <w:t>nment of each consumer to one market segment</w:t>
      </w:r>
    </w:p>
    <w:p w14:paraId="0ACA09EC" w14:textId="30974D6A" w:rsidR="00F71993" w:rsidRPr="00A36EF0" w:rsidRDefault="00F71993" w:rsidP="00A538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segment membership can be treated like any other nominal variable</w:t>
      </w:r>
      <w:r w:rsidR="00A36EF0">
        <w:rPr>
          <w:rFonts w:ascii="Times New Roman" w:hAnsi="Times New Roman" w:cs="Times New Roman"/>
          <w:sz w:val="24"/>
          <w:szCs w:val="24"/>
        </w:rPr>
        <w:t xml:space="preserve">. It </w:t>
      </w:r>
      <w:proofErr w:type="gramStart"/>
      <w:r w:rsidR="00A36EF0">
        <w:rPr>
          <w:rFonts w:ascii="Times New Roman" w:hAnsi="Times New Roman" w:cs="Times New Roman"/>
          <w:sz w:val="24"/>
          <w:szCs w:val="24"/>
        </w:rPr>
        <w:t>represent</w:t>
      </w:r>
      <w:proofErr w:type="gramEnd"/>
      <w:r w:rsidR="00A36EF0">
        <w:rPr>
          <w:rFonts w:ascii="Times New Roman" w:hAnsi="Times New Roman" w:cs="Times New Roman"/>
          <w:sz w:val="24"/>
          <w:szCs w:val="24"/>
        </w:rPr>
        <w:t xml:space="preserve"> a nominal summary statistic of the segmentation variables</w:t>
      </w:r>
    </w:p>
    <w:p w14:paraId="0433FEBC" w14:textId="0C3E9FD2" w:rsidR="00A36EF0" w:rsidRPr="005F0071" w:rsidRDefault="000635B8" w:rsidP="00A538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association between the nominal seg</w:t>
      </w:r>
      <w:r w:rsidR="00BE56E4">
        <w:rPr>
          <w:rFonts w:ascii="Times New Roman" w:hAnsi="Times New Roman" w:cs="Times New Roman"/>
          <w:sz w:val="24"/>
          <w:szCs w:val="24"/>
        </w:rPr>
        <w:t>ment membership variable and another nominal/ordinal variable (like gender,</w:t>
      </w:r>
      <w:r w:rsidR="0012270A">
        <w:rPr>
          <w:rFonts w:ascii="Times New Roman" w:hAnsi="Times New Roman" w:cs="Times New Roman"/>
          <w:sz w:val="24"/>
          <w:szCs w:val="24"/>
        </w:rPr>
        <w:t xml:space="preserve"> level of education, country of origin, etc) is visualized</w:t>
      </w:r>
      <w:r w:rsidR="005F0071">
        <w:rPr>
          <w:rFonts w:ascii="Times New Roman" w:hAnsi="Times New Roman" w:cs="Times New Roman"/>
          <w:sz w:val="24"/>
          <w:szCs w:val="24"/>
        </w:rPr>
        <w:t xml:space="preserve"> using cross-tabulation of both variables as basis for the mosaic plot</w:t>
      </w:r>
    </w:p>
    <w:p w14:paraId="0239C5F9" w14:textId="2D2D193F" w:rsidR="005F0071" w:rsidRPr="000641CE" w:rsidRDefault="00DE46BD" w:rsidP="00A538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B0531" w:rsidRPr="00B401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69E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B40189">
        <w:rPr>
          <w:rFonts w:ascii="Times New Roman" w:eastAsiaTheme="minorEastAsia" w:hAnsi="Times New Roman" w:cs="Times New Roman"/>
          <w:sz w:val="24"/>
          <w:szCs w:val="24"/>
        </w:rPr>
        <w:t xml:space="preserve"> test</w:t>
      </w:r>
      <w:r w:rsidR="006369E3">
        <w:rPr>
          <w:rFonts w:ascii="Times New Roman" w:eastAsiaTheme="minorEastAsia" w:hAnsi="Times New Roman" w:cs="Times New Roman"/>
          <w:sz w:val="24"/>
          <w:szCs w:val="24"/>
        </w:rPr>
        <w:t xml:space="preserve"> is one of the </w:t>
      </w:r>
      <w:proofErr w:type="gramStart"/>
      <w:r w:rsidR="006369E3">
        <w:rPr>
          <w:rFonts w:ascii="Times New Roman" w:eastAsiaTheme="minorEastAsia" w:hAnsi="Times New Roman" w:cs="Times New Roman"/>
          <w:sz w:val="24"/>
          <w:szCs w:val="24"/>
        </w:rPr>
        <w:t>test</w:t>
      </w:r>
      <w:proofErr w:type="gramEnd"/>
      <w:r w:rsidR="006369E3">
        <w:rPr>
          <w:rFonts w:ascii="Times New Roman" w:eastAsiaTheme="minorEastAsia" w:hAnsi="Times New Roman" w:cs="Times New Roman"/>
          <w:sz w:val="24"/>
          <w:szCs w:val="24"/>
        </w:rPr>
        <w:t xml:space="preserve"> used to test for significant difference between columns and </w:t>
      </w:r>
      <w:r w:rsidR="000641CE">
        <w:rPr>
          <w:rFonts w:ascii="Times New Roman" w:eastAsiaTheme="minorEastAsia" w:hAnsi="Times New Roman" w:cs="Times New Roman"/>
          <w:sz w:val="24"/>
          <w:szCs w:val="24"/>
        </w:rPr>
        <w:t>rows of a table</w:t>
      </w:r>
    </w:p>
    <w:p w14:paraId="56C38B5A" w14:textId="34BB6FCD" w:rsidR="000C7EFD" w:rsidRPr="00BB65F0" w:rsidRDefault="00D3683E" w:rsidP="009948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P-value is also calculated </w:t>
      </w:r>
      <w:r w:rsidR="00EB5161">
        <w:rPr>
          <w:rFonts w:ascii="Times New Roman" w:hAnsi="Times New Roman" w:cs="Times New Roman"/>
          <w:sz w:val="24"/>
          <w:szCs w:val="24"/>
        </w:rPr>
        <w:t xml:space="preserve">using the </w:t>
      </w:r>
      <w:r w:rsidR="00BB65F0">
        <w:rPr>
          <w:rFonts w:ascii="Times New Roman" w:hAnsi="Times New Roman" w:cs="Times New Roman"/>
          <w:sz w:val="24"/>
          <w:szCs w:val="24"/>
        </w:rPr>
        <w:t>parameters of the distribution</w:t>
      </w:r>
    </w:p>
    <w:p w14:paraId="07466750" w14:textId="6885DB01" w:rsidR="00BB65F0" w:rsidRPr="00675CBC" w:rsidRDefault="00BB65F0" w:rsidP="009948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p- value indicates how likely the </w:t>
      </w:r>
      <w:r w:rsidR="003712D2">
        <w:rPr>
          <w:rFonts w:ascii="Times New Roman" w:hAnsi="Times New Roman" w:cs="Times New Roman"/>
          <w:sz w:val="24"/>
          <w:szCs w:val="24"/>
        </w:rPr>
        <w:t xml:space="preserve">observed frequency occurs if there is no association between two </w:t>
      </w:r>
      <w:r w:rsidR="00675CBC">
        <w:rPr>
          <w:rFonts w:ascii="Times New Roman" w:hAnsi="Times New Roman" w:cs="Times New Roman"/>
          <w:sz w:val="24"/>
          <w:szCs w:val="24"/>
        </w:rPr>
        <w:t>variables</w:t>
      </w:r>
    </w:p>
    <w:p w14:paraId="27F41447" w14:textId="687FFAC7" w:rsidR="00675CBC" w:rsidRPr="001D14F1" w:rsidRDefault="00675CBC" w:rsidP="009948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For metric variables </w:t>
      </w:r>
      <w:r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="007A1158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gramStart"/>
      <w:r w:rsidR="007A1158">
        <w:rPr>
          <w:rFonts w:ascii="Times New Roman" w:hAnsi="Times New Roman" w:cs="Times New Roman"/>
          <w:b/>
          <w:bCs/>
          <w:sz w:val="24"/>
          <w:szCs w:val="24"/>
        </w:rPr>
        <w:t xml:space="preserve">Median </w:t>
      </w:r>
      <w:r w:rsidR="007A1158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="007A1158">
        <w:rPr>
          <w:rFonts w:ascii="Times New Roman" w:hAnsi="Times New Roman" w:cs="Times New Roman"/>
          <w:sz w:val="24"/>
          <w:szCs w:val="24"/>
        </w:rPr>
        <w:t xml:space="preserve"> used to check the difference</w:t>
      </w:r>
    </w:p>
    <w:p w14:paraId="68F73F57" w14:textId="77777777" w:rsidR="001D2658" w:rsidRPr="001D2658" w:rsidRDefault="001D14F1" w:rsidP="009948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most popular method</w:t>
      </w:r>
      <w:r w:rsidR="00686F4F">
        <w:rPr>
          <w:rFonts w:ascii="Times New Roman" w:hAnsi="Times New Roman" w:cs="Times New Roman"/>
          <w:sz w:val="24"/>
          <w:szCs w:val="24"/>
        </w:rPr>
        <w:t xml:space="preserve"> for testing for significant difference in the </w:t>
      </w:r>
      <w:r w:rsidR="00686F4F" w:rsidRPr="001440D5">
        <w:rPr>
          <w:rFonts w:ascii="Times New Roman" w:hAnsi="Times New Roman" w:cs="Times New Roman"/>
          <w:b/>
          <w:bCs/>
          <w:sz w:val="24"/>
          <w:szCs w:val="24"/>
        </w:rPr>
        <w:t>means</w:t>
      </w:r>
      <w:r w:rsidR="001440D5">
        <w:rPr>
          <w:rFonts w:ascii="Times New Roman" w:hAnsi="Times New Roman" w:cs="Times New Roman"/>
          <w:sz w:val="24"/>
          <w:szCs w:val="24"/>
        </w:rPr>
        <w:t xml:space="preserve"> of more than two groups </w:t>
      </w:r>
      <w:r w:rsidR="001D2658">
        <w:rPr>
          <w:rFonts w:ascii="Times New Roman" w:hAnsi="Times New Roman" w:cs="Times New Roman"/>
          <w:sz w:val="24"/>
          <w:szCs w:val="24"/>
        </w:rPr>
        <w:t xml:space="preserve">is </w:t>
      </w:r>
      <w:r w:rsidR="001D2658" w:rsidRPr="001D2658">
        <w:rPr>
          <w:rFonts w:ascii="Times New Roman" w:hAnsi="Times New Roman" w:cs="Times New Roman"/>
          <w:b/>
          <w:bCs/>
          <w:sz w:val="24"/>
          <w:szCs w:val="24"/>
        </w:rPr>
        <w:t>Analysis of Variance (ANOVA)</w:t>
      </w:r>
      <w:r w:rsidR="001D2658">
        <w:rPr>
          <w:rFonts w:ascii="Times New Roman" w:hAnsi="Times New Roman" w:cs="Times New Roman"/>
          <w:sz w:val="24"/>
          <w:szCs w:val="24"/>
        </w:rPr>
        <w:t>.</w:t>
      </w:r>
    </w:p>
    <w:p w14:paraId="44592F91" w14:textId="77777777" w:rsidR="002C3F9D" w:rsidRPr="002C3F9D" w:rsidRDefault="00D111BE" w:rsidP="002C3F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ANOVA performs </w:t>
      </w:r>
      <w:r w:rsidR="00471D7D">
        <w:rPr>
          <w:rFonts w:ascii="Times New Roman" w:hAnsi="Times New Roman" w:cs="Times New Roman"/>
          <w:sz w:val="24"/>
          <w:szCs w:val="24"/>
        </w:rPr>
        <w:t xml:space="preserve">an F-test where the F- value compares the weighted variance between </w:t>
      </w:r>
      <w:r w:rsidR="002C3F9D">
        <w:rPr>
          <w:rFonts w:ascii="Times New Roman" w:hAnsi="Times New Roman" w:cs="Times New Roman"/>
          <w:sz w:val="24"/>
          <w:szCs w:val="24"/>
        </w:rPr>
        <w:t>market segment. It means variance within the market segments</w:t>
      </w:r>
    </w:p>
    <w:p w14:paraId="762E0852" w14:textId="77777777" w:rsidR="00CD21D2" w:rsidRPr="00CD21D2" w:rsidRDefault="00085601" w:rsidP="002C3F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Pairwise </w:t>
      </w:r>
      <w:r w:rsidR="00DA162D">
        <w:rPr>
          <w:rFonts w:ascii="Times New Roman" w:hAnsi="Times New Roman" w:cs="Times New Roman"/>
          <w:sz w:val="24"/>
          <w:szCs w:val="24"/>
        </w:rPr>
        <w:t xml:space="preserve">comparison between segments </w:t>
      </w:r>
      <w:r w:rsidR="006B1D26">
        <w:rPr>
          <w:rFonts w:ascii="Times New Roman" w:hAnsi="Times New Roman" w:cs="Times New Roman"/>
          <w:sz w:val="24"/>
          <w:szCs w:val="24"/>
        </w:rPr>
        <w:t>provide the information about diffe</w:t>
      </w:r>
      <w:r w:rsidR="00306DE1">
        <w:rPr>
          <w:rFonts w:ascii="Times New Roman" w:hAnsi="Times New Roman" w:cs="Times New Roman"/>
          <w:sz w:val="24"/>
          <w:szCs w:val="24"/>
        </w:rPr>
        <w:t>ring s</w:t>
      </w:r>
      <w:r w:rsidR="00CD21D2">
        <w:rPr>
          <w:rFonts w:ascii="Times New Roman" w:hAnsi="Times New Roman" w:cs="Times New Roman"/>
          <w:sz w:val="24"/>
          <w:szCs w:val="24"/>
        </w:rPr>
        <w:t>egments</w:t>
      </w:r>
    </w:p>
    <w:p w14:paraId="6B05BA19" w14:textId="7416122A" w:rsidR="00191F59" w:rsidRPr="00191F59" w:rsidRDefault="00CD21D2" w:rsidP="002C3F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Method proposed by Holm, </w:t>
      </w:r>
      <w:r w:rsidR="00191F59">
        <w:rPr>
          <w:rFonts w:ascii="Times New Roman" w:hAnsi="Times New Roman" w:cs="Times New Roman"/>
          <w:sz w:val="24"/>
          <w:szCs w:val="24"/>
        </w:rPr>
        <w:t>whenever</w:t>
      </w:r>
      <w:r w:rsidR="00A6366E">
        <w:rPr>
          <w:rFonts w:ascii="Times New Roman" w:hAnsi="Times New Roman" w:cs="Times New Roman"/>
          <w:sz w:val="24"/>
          <w:szCs w:val="24"/>
        </w:rPr>
        <w:t xml:space="preserve"> a series of tests is computed using the same dataset to assess a single hypo</w:t>
      </w:r>
      <w:r w:rsidR="00191F59">
        <w:rPr>
          <w:rFonts w:ascii="Times New Roman" w:hAnsi="Times New Roman" w:cs="Times New Roman"/>
          <w:sz w:val="24"/>
          <w:szCs w:val="24"/>
        </w:rPr>
        <w:t>thesis, p-values need to be adjusted for multiple testing</w:t>
      </w:r>
    </w:p>
    <w:p w14:paraId="3F329856" w14:textId="0553E546" w:rsidR="001D14F1" w:rsidRPr="00D83FD8" w:rsidRDefault="00085601" w:rsidP="002C3F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4AA">
        <w:rPr>
          <w:rFonts w:ascii="Times New Roman" w:hAnsi="Times New Roman" w:cs="Times New Roman"/>
          <w:sz w:val="24"/>
          <w:szCs w:val="24"/>
        </w:rPr>
        <w:t xml:space="preserve">The simplest way to correct p-values </w:t>
      </w:r>
      <w:r w:rsidR="00574045">
        <w:rPr>
          <w:rFonts w:ascii="Times New Roman" w:hAnsi="Times New Roman" w:cs="Times New Roman"/>
          <w:sz w:val="24"/>
          <w:szCs w:val="24"/>
        </w:rPr>
        <w:t xml:space="preserve">for multiple testing is </w:t>
      </w:r>
      <w:r w:rsidR="00574045" w:rsidRPr="009E71A0">
        <w:rPr>
          <w:rFonts w:ascii="Times New Roman" w:hAnsi="Times New Roman" w:cs="Times New Roman"/>
          <w:b/>
          <w:bCs/>
          <w:sz w:val="24"/>
          <w:szCs w:val="24"/>
        </w:rPr>
        <w:t>Bonferroni Correction</w:t>
      </w:r>
      <w:r w:rsidR="00574045">
        <w:rPr>
          <w:rFonts w:ascii="Times New Roman" w:hAnsi="Times New Roman" w:cs="Times New Roman"/>
          <w:sz w:val="24"/>
          <w:szCs w:val="24"/>
        </w:rPr>
        <w:t>.</w:t>
      </w:r>
      <w:r w:rsidR="00D45040">
        <w:rPr>
          <w:rFonts w:ascii="Times New Roman" w:hAnsi="Times New Roman" w:cs="Times New Roman"/>
          <w:sz w:val="24"/>
          <w:szCs w:val="24"/>
        </w:rPr>
        <w:t xml:space="preserve"> It multiplies all p-values by number of tests computed </w:t>
      </w:r>
      <w:r w:rsidR="00D83FD8">
        <w:rPr>
          <w:rFonts w:ascii="Times New Roman" w:hAnsi="Times New Roman" w:cs="Times New Roman"/>
          <w:sz w:val="24"/>
          <w:szCs w:val="24"/>
        </w:rPr>
        <w:t>and represents a very conservative approach</w:t>
      </w:r>
    </w:p>
    <w:p w14:paraId="020DB59F" w14:textId="0BAE7FA6" w:rsidR="003955FD" w:rsidRPr="00E274F2" w:rsidRDefault="00D83FD8" w:rsidP="00D012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Other alternative includes False discovery rate </w:t>
      </w:r>
      <w:r w:rsidR="00750248">
        <w:rPr>
          <w:rFonts w:ascii="Times New Roman" w:hAnsi="Times New Roman" w:cs="Times New Roman"/>
          <w:sz w:val="24"/>
          <w:szCs w:val="24"/>
        </w:rPr>
        <w:t>procedure proposed by Benjam</w:t>
      </w:r>
      <w:r w:rsidR="003955FD">
        <w:rPr>
          <w:rFonts w:ascii="Times New Roman" w:hAnsi="Times New Roman" w:cs="Times New Roman"/>
          <w:sz w:val="24"/>
          <w:szCs w:val="24"/>
        </w:rPr>
        <w:t>ini et.al</w:t>
      </w:r>
      <w:r w:rsidR="00D01221">
        <w:rPr>
          <w:rFonts w:ascii="Times New Roman" w:hAnsi="Times New Roman" w:cs="Times New Roman"/>
          <w:sz w:val="24"/>
          <w:szCs w:val="24"/>
        </w:rPr>
        <w:t>, and alternate to pairwise p-tests, we can plot Tu</w:t>
      </w:r>
      <w:r w:rsidR="00325778">
        <w:rPr>
          <w:rFonts w:ascii="Times New Roman" w:hAnsi="Times New Roman" w:cs="Times New Roman"/>
          <w:sz w:val="24"/>
          <w:szCs w:val="24"/>
        </w:rPr>
        <w:t>key’s honest significant difference</w:t>
      </w:r>
    </w:p>
    <w:p w14:paraId="099A9563" w14:textId="17B7A054" w:rsidR="00215E40" w:rsidRDefault="009A1BA6" w:rsidP="009A1BA6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9.4) </w:t>
      </w:r>
      <w:r w:rsidR="00250E3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Predicting Segments </w:t>
      </w:r>
      <w:r w:rsidR="00CB071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from Descriptor Variables:</w:t>
      </w:r>
    </w:p>
    <w:p w14:paraId="43BEAFDE" w14:textId="6D818D10" w:rsidR="00215E40" w:rsidRPr="0063004C" w:rsidRDefault="00215E40" w:rsidP="00215E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Another way of learning about market segments is to try to pr</w:t>
      </w:r>
      <w:r w:rsidR="002E6B9C">
        <w:rPr>
          <w:rFonts w:ascii="Times New Roman" w:hAnsi="Times New Roman" w:cs="Times New Roman"/>
          <w:sz w:val="24"/>
          <w:szCs w:val="24"/>
        </w:rPr>
        <w:t>edict segment membership from descriptor variable</w:t>
      </w:r>
    </w:p>
    <w:p w14:paraId="6927B76B" w14:textId="1192A875" w:rsidR="00EC22E8" w:rsidRPr="00B6192B" w:rsidRDefault="00DC42B1" w:rsidP="00A00A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To achieve</w:t>
      </w:r>
      <w:r w:rsidR="00EC22E8">
        <w:rPr>
          <w:rFonts w:ascii="Times New Roman" w:hAnsi="Times New Roman" w:cs="Times New Roman"/>
          <w:sz w:val="24"/>
          <w:szCs w:val="24"/>
        </w:rPr>
        <w:t xml:space="preserve"> this, </w:t>
      </w:r>
      <w:r>
        <w:rPr>
          <w:rFonts w:ascii="Times New Roman" w:hAnsi="Times New Roman" w:cs="Times New Roman"/>
          <w:sz w:val="24"/>
          <w:szCs w:val="24"/>
        </w:rPr>
        <w:t>we use a regression model where our segment memberships are dependent variable</w:t>
      </w:r>
      <w:r w:rsidR="00EC22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(target</w:t>
      </w:r>
      <w:r w:rsidR="00771F25">
        <w:rPr>
          <w:rFonts w:ascii="Times New Roman" w:hAnsi="Times New Roman" w:cs="Times New Roman"/>
          <w:sz w:val="24"/>
          <w:szCs w:val="24"/>
        </w:rPr>
        <w:t xml:space="preserve"> y) and </w:t>
      </w:r>
      <w:r w:rsidR="00451F18">
        <w:rPr>
          <w:rFonts w:ascii="Times New Roman" w:hAnsi="Times New Roman" w:cs="Times New Roman"/>
          <w:sz w:val="24"/>
          <w:szCs w:val="24"/>
        </w:rPr>
        <w:t>descriptor variables as independent variables (X</w:t>
      </w:r>
      <w:r w:rsidR="00EC22E8">
        <w:rPr>
          <w:rFonts w:ascii="Times New Roman" w:hAnsi="Times New Roman" w:cs="Times New Roman"/>
          <w:sz w:val="24"/>
          <w:szCs w:val="24"/>
        </w:rPr>
        <w:t>)</w:t>
      </w:r>
      <w:r w:rsidR="008B6D50">
        <w:rPr>
          <w:rFonts w:ascii="Times New Roman" w:hAnsi="Times New Roman" w:cs="Times New Roman"/>
          <w:sz w:val="24"/>
          <w:szCs w:val="24"/>
        </w:rPr>
        <w:t xml:space="preserve">. Then we use machine learning models for supervised </w:t>
      </w:r>
      <w:r w:rsidR="00B6192B">
        <w:rPr>
          <w:rFonts w:ascii="Times New Roman" w:hAnsi="Times New Roman" w:cs="Times New Roman"/>
          <w:sz w:val="24"/>
          <w:szCs w:val="24"/>
        </w:rPr>
        <w:t>learning to train our model</w:t>
      </w:r>
    </w:p>
    <w:p w14:paraId="5DA4B444" w14:textId="6857539E" w:rsidR="00B6192B" w:rsidRPr="00BF504E" w:rsidRDefault="0068212D" w:rsidP="00A00A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prediction performance indicates how well members of market segments can be identified given </w:t>
      </w:r>
      <w:r w:rsidR="00501B90">
        <w:rPr>
          <w:rFonts w:ascii="Times New Roman" w:hAnsi="Times New Roman" w:cs="Times New Roman"/>
          <w:sz w:val="24"/>
          <w:szCs w:val="24"/>
        </w:rPr>
        <w:t>t</w:t>
      </w:r>
      <w:r w:rsidR="00BF504E">
        <w:rPr>
          <w:rFonts w:ascii="Times New Roman" w:hAnsi="Times New Roman" w:cs="Times New Roman"/>
          <w:sz w:val="24"/>
          <w:szCs w:val="24"/>
        </w:rPr>
        <w:t>he descriptor variables.</w:t>
      </w:r>
    </w:p>
    <w:p w14:paraId="70D31DC0" w14:textId="0F892615" w:rsidR="001540AA" w:rsidRPr="004B5038" w:rsidRDefault="00BE2E79" w:rsidP="004B503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Linear regression model used for </w:t>
      </w:r>
      <w:r w:rsidR="00C5029F">
        <w:rPr>
          <w:rFonts w:ascii="Times New Roman" w:hAnsi="Times New Roman" w:cs="Times New Roman"/>
          <w:sz w:val="24"/>
          <w:szCs w:val="24"/>
        </w:rPr>
        <w:t xml:space="preserve">continuous distribution so not mostly used for </w:t>
      </w:r>
      <w:r w:rsidR="009006DF">
        <w:rPr>
          <w:rFonts w:ascii="Times New Roman" w:hAnsi="Times New Roman" w:cs="Times New Roman"/>
          <w:sz w:val="24"/>
          <w:szCs w:val="24"/>
        </w:rPr>
        <w:t>segment membership (categorical column)</w:t>
      </w:r>
      <w:r w:rsidR="001D121E">
        <w:rPr>
          <w:rFonts w:ascii="Times New Roman" w:hAnsi="Times New Roman" w:cs="Times New Roman"/>
          <w:sz w:val="24"/>
          <w:szCs w:val="24"/>
        </w:rPr>
        <w:t>. So, we use generalized linear models</w:t>
      </w:r>
      <w:r w:rsidR="00635FD4">
        <w:rPr>
          <w:rFonts w:ascii="Times New Roman" w:hAnsi="Times New Roman" w:cs="Times New Roman"/>
          <w:sz w:val="24"/>
          <w:szCs w:val="24"/>
        </w:rPr>
        <w:t xml:space="preserve"> (linear models </w:t>
      </w:r>
      <w:r w:rsidR="00FC2D85">
        <w:rPr>
          <w:rFonts w:ascii="Times New Roman" w:hAnsi="Times New Roman" w:cs="Times New Roman"/>
          <w:sz w:val="24"/>
          <w:szCs w:val="24"/>
        </w:rPr>
        <w:t>accompanied</w:t>
      </w:r>
      <w:r w:rsidR="002B0EE4">
        <w:rPr>
          <w:rFonts w:ascii="Times New Roman" w:hAnsi="Times New Roman" w:cs="Times New Roman"/>
          <w:sz w:val="24"/>
          <w:szCs w:val="24"/>
        </w:rPr>
        <w:t xml:space="preserve"> by link function)</w:t>
      </w:r>
      <w:r w:rsidR="00FC2D85">
        <w:rPr>
          <w:rFonts w:ascii="Times New Roman" w:hAnsi="Times New Roman" w:cs="Times New Roman"/>
          <w:sz w:val="24"/>
          <w:szCs w:val="24"/>
        </w:rPr>
        <w:t>, like binary</w:t>
      </w:r>
      <w:r w:rsidR="001540AA">
        <w:rPr>
          <w:rFonts w:ascii="Times New Roman" w:hAnsi="Times New Roman" w:cs="Times New Roman"/>
          <w:sz w:val="24"/>
          <w:szCs w:val="24"/>
        </w:rPr>
        <w:t xml:space="preserve"> and multinomial logistics.</w:t>
      </w:r>
    </w:p>
    <w:p w14:paraId="18E7DB6C" w14:textId="7C42B748" w:rsidR="004B5038" w:rsidRPr="008D03FC" w:rsidRDefault="004B5038" w:rsidP="004B503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In these models</w:t>
      </w:r>
      <w:r w:rsidR="002208EF">
        <w:rPr>
          <w:rFonts w:ascii="Times New Roman" w:hAnsi="Times New Roman" w:cs="Times New Roman"/>
          <w:sz w:val="24"/>
          <w:szCs w:val="24"/>
        </w:rPr>
        <w:t xml:space="preserve"> the dependent variable follows either a binary or multinomi</w:t>
      </w:r>
      <w:r w:rsidR="004A435C">
        <w:rPr>
          <w:rFonts w:ascii="Times New Roman" w:hAnsi="Times New Roman" w:cs="Times New Roman"/>
          <w:sz w:val="24"/>
          <w:szCs w:val="24"/>
        </w:rPr>
        <w:t>al distribution and the link function is the logit function</w:t>
      </w:r>
      <w:r w:rsidR="008D03FC">
        <w:rPr>
          <w:rFonts w:ascii="Times New Roman" w:hAnsi="Times New Roman" w:cs="Times New Roman"/>
          <w:sz w:val="24"/>
          <w:szCs w:val="24"/>
        </w:rPr>
        <w:t>.</w:t>
      </w:r>
    </w:p>
    <w:p w14:paraId="51BC9442" w14:textId="201DA2F1" w:rsidR="008D03FC" w:rsidRPr="002F1AE9" w:rsidRDefault="008D03FC" w:rsidP="008D03FC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F1AE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Binary- Logistic Regression:</w:t>
      </w:r>
    </w:p>
    <w:p w14:paraId="31E46F40" w14:textId="6D9FF71F" w:rsidR="008D03FC" w:rsidRPr="00C769AC" w:rsidRDefault="00702305" w:rsidP="008D03FC">
      <w:pPr>
        <w:ind w:left="360"/>
        <w:jc w:val="both"/>
        <w:rPr>
          <w:rFonts w:ascii="Times New Roman" w:eastAsiaTheme="minorEastAsia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exp(θ)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1+exp(θ)</m:t>
            </m:r>
          </m:den>
        </m:f>
      </m:oMath>
    </w:p>
    <w:p w14:paraId="6B4EB617" w14:textId="6D9A2269" w:rsidR="005F397A" w:rsidRDefault="00193CF2" w:rsidP="005F397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397A">
        <w:rPr>
          <w:rFonts w:ascii="Times New Roman" w:hAnsi="Times New Roman" w:cs="Times New Roman"/>
          <w:sz w:val="24"/>
          <w:szCs w:val="24"/>
        </w:rPr>
        <w:t xml:space="preserve">Where </w:t>
      </w:r>
      <w:r w:rsidR="00790E34" w:rsidRPr="005F397A">
        <w:rPr>
          <w:rFonts w:ascii="Times New Roman" w:hAnsi="Times New Roman" w:cs="Times New Roman"/>
          <w:sz w:val="24"/>
          <w:szCs w:val="24"/>
        </w:rPr>
        <w:t xml:space="preserve">θ </w:t>
      </w:r>
      <w:r w:rsidR="00CD5D04" w:rsidRPr="005F397A">
        <w:rPr>
          <w:rFonts w:ascii="Times New Roman" w:hAnsi="Times New Roman" w:cs="Times New Roman"/>
          <w:sz w:val="24"/>
          <w:szCs w:val="24"/>
        </w:rPr>
        <w:t xml:space="preserve">is linear function and the function result is between 0 and </w:t>
      </w:r>
      <w:r w:rsidR="005F397A" w:rsidRPr="005F397A">
        <w:rPr>
          <w:rFonts w:ascii="Times New Roman" w:hAnsi="Times New Roman" w:cs="Times New Roman"/>
          <w:sz w:val="24"/>
          <w:szCs w:val="24"/>
        </w:rPr>
        <w:t>1 so it is to be applied on each segment individually</w:t>
      </w:r>
    </w:p>
    <w:p w14:paraId="7E4580E9" w14:textId="4F0B60B5" w:rsidR="005F397A" w:rsidRPr="002F1AE9" w:rsidRDefault="00494D27" w:rsidP="00494D27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F1AE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Multinomial</w:t>
      </w:r>
      <w:r w:rsidR="005F397A" w:rsidRPr="002F1AE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 Logistic Regression:</w:t>
      </w:r>
    </w:p>
    <w:p w14:paraId="4B6F605B" w14:textId="424D0ED6" w:rsidR="005F397A" w:rsidRDefault="00494D27" w:rsidP="005F397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applied simultaneously to</w:t>
      </w:r>
      <w:r w:rsidR="00251B3B">
        <w:rPr>
          <w:rFonts w:ascii="Times New Roman" w:hAnsi="Times New Roman" w:cs="Times New Roman"/>
          <w:sz w:val="24"/>
          <w:szCs w:val="24"/>
        </w:rPr>
        <w:t xml:space="preserve"> predict each </w:t>
      </w:r>
      <w:proofErr w:type="gramStart"/>
      <w:r w:rsidR="00251B3B">
        <w:rPr>
          <w:rFonts w:ascii="Times New Roman" w:hAnsi="Times New Roman" w:cs="Times New Roman"/>
          <w:sz w:val="24"/>
          <w:szCs w:val="24"/>
        </w:rPr>
        <w:t>segments</w:t>
      </w:r>
      <w:proofErr w:type="gramEnd"/>
      <w:r w:rsidR="00251B3B">
        <w:rPr>
          <w:rFonts w:ascii="Times New Roman" w:hAnsi="Times New Roman" w:cs="Times New Roman"/>
          <w:sz w:val="24"/>
          <w:szCs w:val="24"/>
        </w:rPr>
        <w:t xml:space="preserve">, so it is preferred in </w:t>
      </w:r>
      <w:r w:rsidR="00C71FA5">
        <w:rPr>
          <w:rFonts w:ascii="Times New Roman" w:hAnsi="Times New Roman" w:cs="Times New Roman"/>
          <w:sz w:val="24"/>
          <w:szCs w:val="24"/>
        </w:rPr>
        <w:t>prediction of target segments</w:t>
      </w:r>
    </w:p>
    <w:p w14:paraId="3847EE02" w14:textId="6527564A" w:rsidR="00BE18CF" w:rsidRPr="00C769AC" w:rsidRDefault="00BE18CF" w:rsidP="005F397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exp(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exp(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</m:nary>
          </m:den>
        </m:f>
      </m:oMath>
    </w:p>
    <w:p w14:paraId="3E2122E3" w14:textId="5F81AD3D" w:rsidR="00C769AC" w:rsidRDefault="00B77C0C" w:rsidP="00B77C0C">
      <w:pPr>
        <w:ind w:left="284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F1AE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Tree Based Methods</w:t>
      </w:r>
      <w:r w:rsidR="002F1AE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03B21C61" w14:textId="17C58B7E" w:rsidR="002F1AE9" w:rsidRPr="00CA0C91" w:rsidRDefault="002F1AE9" w:rsidP="002F1A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tree ap</w:t>
      </w:r>
      <w:r w:rsidR="004040FD">
        <w:rPr>
          <w:rFonts w:ascii="Times New Roman" w:hAnsi="Times New Roman" w:cs="Times New Roman"/>
          <w:sz w:val="24"/>
          <w:szCs w:val="24"/>
        </w:rPr>
        <w:t>proach uses a step wise procedure to fit the model, at each step consumers are split into groups base</w:t>
      </w:r>
      <w:r w:rsidR="00F04658">
        <w:rPr>
          <w:rFonts w:ascii="Times New Roman" w:hAnsi="Times New Roman" w:cs="Times New Roman"/>
          <w:sz w:val="24"/>
          <w:szCs w:val="24"/>
        </w:rPr>
        <w:t>d on the independent variable. The aim of the split is for the resulting group to be as pure as possible w</w:t>
      </w:r>
      <w:r w:rsidR="00CA0C91">
        <w:rPr>
          <w:rFonts w:ascii="Times New Roman" w:hAnsi="Times New Roman" w:cs="Times New Roman"/>
          <w:sz w:val="24"/>
          <w:szCs w:val="24"/>
        </w:rPr>
        <w:t>ith respect to dependent variables</w:t>
      </w:r>
    </w:p>
    <w:p w14:paraId="60717E5D" w14:textId="4ABB0A31" w:rsidR="00CA0C91" w:rsidRPr="00AD33E5" w:rsidRDefault="00CA0C91" w:rsidP="002F1A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approach is also referred as </w:t>
      </w:r>
      <w:r w:rsidRPr="00AD33E5">
        <w:rPr>
          <w:rFonts w:ascii="Times New Roman" w:hAnsi="Times New Roman" w:cs="Times New Roman"/>
          <w:b/>
          <w:bCs/>
          <w:sz w:val="24"/>
          <w:szCs w:val="24"/>
        </w:rPr>
        <w:t>recursive par</w:t>
      </w:r>
      <w:r w:rsidR="00AD33E5" w:rsidRPr="00AD33E5">
        <w:rPr>
          <w:rFonts w:ascii="Times New Roman" w:hAnsi="Times New Roman" w:cs="Times New Roman"/>
          <w:b/>
          <w:bCs/>
          <w:sz w:val="24"/>
          <w:szCs w:val="24"/>
        </w:rPr>
        <w:t>titioning</w:t>
      </w:r>
      <w:r w:rsidR="00AD33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E12D80" w14:textId="6F43457F" w:rsidR="00AD33E5" w:rsidRPr="002F1AE9" w:rsidRDefault="00AD33E5" w:rsidP="002F1A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start node where all customers are present is called root node and the end node where </w:t>
      </w:r>
      <w:r w:rsidR="00D27588">
        <w:rPr>
          <w:rFonts w:ascii="Times New Roman" w:hAnsi="Times New Roman" w:cs="Times New Roman"/>
          <w:sz w:val="24"/>
          <w:szCs w:val="24"/>
        </w:rPr>
        <w:t>no further partition can be done is called terminal nodes.</w:t>
      </w:r>
    </w:p>
    <w:p w14:paraId="2EB7150F" w14:textId="77777777" w:rsidR="005F397A" w:rsidRPr="005F397A" w:rsidRDefault="005F397A" w:rsidP="005F397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397A" w:rsidRPr="005F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B4DC4"/>
    <w:multiLevelType w:val="hybridMultilevel"/>
    <w:tmpl w:val="50121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C09"/>
    <w:multiLevelType w:val="hybridMultilevel"/>
    <w:tmpl w:val="89D4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10787"/>
    <w:multiLevelType w:val="hybridMultilevel"/>
    <w:tmpl w:val="F04AE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F39D8"/>
    <w:multiLevelType w:val="hybridMultilevel"/>
    <w:tmpl w:val="A1EA2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41BE5"/>
    <w:multiLevelType w:val="hybridMultilevel"/>
    <w:tmpl w:val="A9A00A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33782B"/>
    <w:multiLevelType w:val="hybridMultilevel"/>
    <w:tmpl w:val="92020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43FDB"/>
    <w:multiLevelType w:val="hybridMultilevel"/>
    <w:tmpl w:val="E7A40E2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AE3611D"/>
    <w:multiLevelType w:val="hybridMultilevel"/>
    <w:tmpl w:val="CCECF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D663C"/>
    <w:multiLevelType w:val="hybridMultilevel"/>
    <w:tmpl w:val="D47E7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79691">
    <w:abstractNumId w:val="1"/>
  </w:num>
  <w:num w:numId="2" w16cid:durableId="118424966">
    <w:abstractNumId w:val="0"/>
  </w:num>
  <w:num w:numId="3" w16cid:durableId="182480789">
    <w:abstractNumId w:val="7"/>
  </w:num>
  <w:num w:numId="4" w16cid:durableId="119152677">
    <w:abstractNumId w:val="5"/>
  </w:num>
  <w:num w:numId="5" w16cid:durableId="1701199044">
    <w:abstractNumId w:val="8"/>
  </w:num>
  <w:num w:numId="6" w16cid:durableId="830099021">
    <w:abstractNumId w:val="2"/>
  </w:num>
  <w:num w:numId="7" w16cid:durableId="1865440563">
    <w:abstractNumId w:val="3"/>
  </w:num>
  <w:num w:numId="8" w16cid:durableId="729423315">
    <w:abstractNumId w:val="4"/>
  </w:num>
  <w:num w:numId="9" w16cid:durableId="1582595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8B"/>
    <w:rsid w:val="000635B8"/>
    <w:rsid w:val="000641CE"/>
    <w:rsid w:val="00085601"/>
    <w:rsid w:val="00095335"/>
    <w:rsid w:val="000A0DC7"/>
    <w:rsid w:val="000C7EFD"/>
    <w:rsid w:val="000D5313"/>
    <w:rsid w:val="000D641F"/>
    <w:rsid w:val="000F0FC6"/>
    <w:rsid w:val="001107BE"/>
    <w:rsid w:val="00117D6A"/>
    <w:rsid w:val="0012270A"/>
    <w:rsid w:val="001440D5"/>
    <w:rsid w:val="001540AA"/>
    <w:rsid w:val="00154310"/>
    <w:rsid w:val="001830D5"/>
    <w:rsid w:val="00191F59"/>
    <w:rsid w:val="00193CF2"/>
    <w:rsid w:val="001B0703"/>
    <w:rsid w:val="001D121E"/>
    <w:rsid w:val="001D14F1"/>
    <w:rsid w:val="001D2658"/>
    <w:rsid w:val="00215E40"/>
    <w:rsid w:val="002208EF"/>
    <w:rsid w:val="00250E38"/>
    <w:rsid w:val="00251B3B"/>
    <w:rsid w:val="00254FCE"/>
    <w:rsid w:val="00292293"/>
    <w:rsid w:val="00294C35"/>
    <w:rsid w:val="002A1C7D"/>
    <w:rsid w:val="002A4A2C"/>
    <w:rsid w:val="002A5984"/>
    <w:rsid w:val="002B0EE4"/>
    <w:rsid w:val="002C3F9D"/>
    <w:rsid w:val="002E6B9C"/>
    <w:rsid w:val="002F1AE9"/>
    <w:rsid w:val="00306DE1"/>
    <w:rsid w:val="00325778"/>
    <w:rsid w:val="00326763"/>
    <w:rsid w:val="0032761F"/>
    <w:rsid w:val="0036011F"/>
    <w:rsid w:val="003712D2"/>
    <w:rsid w:val="00394341"/>
    <w:rsid w:val="003955FD"/>
    <w:rsid w:val="003B6152"/>
    <w:rsid w:val="003C3E6E"/>
    <w:rsid w:val="003C446C"/>
    <w:rsid w:val="003D765C"/>
    <w:rsid w:val="004040FD"/>
    <w:rsid w:val="0041715B"/>
    <w:rsid w:val="00451F18"/>
    <w:rsid w:val="00471D7D"/>
    <w:rsid w:val="00480793"/>
    <w:rsid w:val="0048507F"/>
    <w:rsid w:val="00494D27"/>
    <w:rsid w:val="004A435C"/>
    <w:rsid w:val="004B159A"/>
    <w:rsid w:val="004B5038"/>
    <w:rsid w:val="004C4E8D"/>
    <w:rsid w:val="004F0DC4"/>
    <w:rsid w:val="00501B90"/>
    <w:rsid w:val="005346FC"/>
    <w:rsid w:val="00574045"/>
    <w:rsid w:val="00595C2A"/>
    <w:rsid w:val="005C699E"/>
    <w:rsid w:val="005C7B03"/>
    <w:rsid w:val="005C7FEF"/>
    <w:rsid w:val="005D0493"/>
    <w:rsid w:val="005F0071"/>
    <w:rsid w:val="005F0AD8"/>
    <w:rsid w:val="005F397A"/>
    <w:rsid w:val="00612960"/>
    <w:rsid w:val="00622869"/>
    <w:rsid w:val="00626DDA"/>
    <w:rsid w:val="0063004C"/>
    <w:rsid w:val="00635FD4"/>
    <w:rsid w:val="006369E3"/>
    <w:rsid w:val="0064528A"/>
    <w:rsid w:val="006678A1"/>
    <w:rsid w:val="00672E16"/>
    <w:rsid w:val="00675CBC"/>
    <w:rsid w:val="006770FC"/>
    <w:rsid w:val="00680E9B"/>
    <w:rsid w:val="0068212D"/>
    <w:rsid w:val="00684D0C"/>
    <w:rsid w:val="00686F4F"/>
    <w:rsid w:val="006A1754"/>
    <w:rsid w:val="006B1D26"/>
    <w:rsid w:val="006C6D33"/>
    <w:rsid w:val="006D73BD"/>
    <w:rsid w:val="006E21F6"/>
    <w:rsid w:val="006E48AA"/>
    <w:rsid w:val="00702305"/>
    <w:rsid w:val="00725C23"/>
    <w:rsid w:val="00731DFC"/>
    <w:rsid w:val="00744E3F"/>
    <w:rsid w:val="00750248"/>
    <w:rsid w:val="00771F25"/>
    <w:rsid w:val="00790E34"/>
    <w:rsid w:val="007925C5"/>
    <w:rsid w:val="007A1158"/>
    <w:rsid w:val="007A7D73"/>
    <w:rsid w:val="007C022D"/>
    <w:rsid w:val="007D3EAF"/>
    <w:rsid w:val="007E7933"/>
    <w:rsid w:val="0080155C"/>
    <w:rsid w:val="0080600A"/>
    <w:rsid w:val="00830D8A"/>
    <w:rsid w:val="008353CD"/>
    <w:rsid w:val="00850969"/>
    <w:rsid w:val="00872EB6"/>
    <w:rsid w:val="008831DD"/>
    <w:rsid w:val="00886F97"/>
    <w:rsid w:val="008A4B48"/>
    <w:rsid w:val="008B1A94"/>
    <w:rsid w:val="008B6D50"/>
    <w:rsid w:val="008D03FC"/>
    <w:rsid w:val="009006DF"/>
    <w:rsid w:val="00956FB0"/>
    <w:rsid w:val="009864AA"/>
    <w:rsid w:val="0099487F"/>
    <w:rsid w:val="009A1BA6"/>
    <w:rsid w:val="009E71A0"/>
    <w:rsid w:val="00A00AF0"/>
    <w:rsid w:val="00A252A3"/>
    <w:rsid w:val="00A36EF0"/>
    <w:rsid w:val="00A50739"/>
    <w:rsid w:val="00A538AF"/>
    <w:rsid w:val="00A54876"/>
    <w:rsid w:val="00A56D59"/>
    <w:rsid w:val="00A6366E"/>
    <w:rsid w:val="00AD33E5"/>
    <w:rsid w:val="00B31F8E"/>
    <w:rsid w:val="00B40189"/>
    <w:rsid w:val="00B447CE"/>
    <w:rsid w:val="00B5509E"/>
    <w:rsid w:val="00B6192B"/>
    <w:rsid w:val="00B76DBB"/>
    <w:rsid w:val="00B77C0C"/>
    <w:rsid w:val="00B815A5"/>
    <w:rsid w:val="00BB0531"/>
    <w:rsid w:val="00BB65F0"/>
    <w:rsid w:val="00BE18CF"/>
    <w:rsid w:val="00BE1CEA"/>
    <w:rsid w:val="00BE2E79"/>
    <w:rsid w:val="00BE56E4"/>
    <w:rsid w:val="00BF504E"/>
    <w:rsid w:val="00C145FB"/>
    <w:rsid w:val="00C23E5C"/>
    <w:rsid w:val="00C25897"/>
    <w:rsid w:val="00C5029F"/>
    <w:rsid w:val="00C518EC"/>
    <w:rsid w:val="00C67674"/>
    <w:rsid w:val="00C71FA5"/>
    <w:rsid w:val="00C769AC"/>
    <w:rsid w:val="00C94317"/>
    <w:rsid w:val="00CA0C91"/>
    <w:rsid w:val="00CB0100"/>
    <w:rsid w:val="00CB0719"/>
    <w:rsid w:val="00CC53AF"/>
    <w:rsid w:val="00CC6258"/>
    <w:rsid w:val="00CD21D2"/>
    <w:rsid w:val="00CD5D04"/>
    <w:rsid w:val="00CE13CA"/>
    <w:rsid w:val="00D01221"/>
    <w:rsid w:val="00D025E8"/>
    <w:rsid w:val="00D06397"/>
    <w:rsid w:val="00D111BE"/>
    <w:rsid w:val="00D1288B"/>
    <w:rsid w:val="00D21DA3"/>
    <w:rsid w:val="00D27588"/>
    <w:rsid w:val="00D3683E"/>
    <w:rsid w:val="00D416F7"/>
    <w:rsid w:val="00D45040"/>
    <w:rsid w:val="00D47225"/>
    <w:rsid w:val="00D52356"/>
    <w:rsid w:val="00D5424B"/>
    <w:rsid w:val="00D83FD8"/>
    <w:rsid w:val="00DA162D"/>
    <w:rsid w:val="00DC42B1"/>
    <w:rsid w:val="00DD190B"/>
    <w:rsid w:val="00DE46BD"/>
    <w:rsid w:val="00DF4F61"/>
    <w:rsid w:val="00E274F2"/>
    <w:rsid w:val="00E43A3A"/>
    <w:rsid w:val="00E53B7F"/>
    <w:rsid w:val="00EB5161"/>
    <w:rsid w:val="00EC22E8"/>
    <w:rsid w:val="00F04658"/>
    <w:rsid w:val="00F52D8B"/>
    <w:rsid w:val="00F56B73"/>
    <w:rsid w:val="00F6098D"/>
    <w:rsid w:val="00F71993"/>
    <w:rsid w:val="00F75995"/>
    <w:rsid w:val="00F83738"/>
    <w:rsid w:val="00F91A64"/>
    <w:rsid w:val="00FC13E9"/>
    <w:rsid w:val="00FC2D85"/>
    <w:rsid w:val="00FE761A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0AC5"/>
  <w15:chartTrackingRefBased/>
  <w15:docId w15:val="{AB2D0E17-7014-42DD-B4F7-69292740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8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88B"/>
  </w:style>
  <w:style w:type="paragraph" w:styleId="ListParagraph">
    <w:name w:val="List Paragraph"/>
    <w:basedOn w:val="Normal"/>
    <w:uiPriority w:val="34"/>
    <w:qFormat/>
    <w:rsid w:val="005C7F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4A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PATHIPATI SIVATEJA</dc:creator>
  <cp:keywords/>
  <dc:description/>
  <cp:lastModifiedBy>PATHIPATI SIVATEJA</cp:lastModifiedBy>
  <cp:revision>197</cp:revision>
  <dcterms:created xsi:type="dcterms:W3CDTF">2024-04-27T11:22:00Z</dcterms:created>
  <dcterms:modified xsi:type="dcterms:W3CDTF">2024-04-27T14:25:00Z</dcterms:modified>
</cp:coreProperties>
</file>