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3EF" w:rsidRDefault="00EF13EF">
      <w:pPr>
        <w:spacing w:after="80"/>
      </w:pPr>
    </w:p>
    <w:p w:rsidR="00EF13EF" w:rsidRDefault="00EF13EF">
      <w:pPr>
        <w:spacing w:after="80"/>
      </w:pPr>
    </w:p>
    <w:p w:rsidR="00EF13EF" w:rsidRDefault="00EF13EF">
      <w:pPr>
        <w:spacing w:after="80"/>
      </w:pPr>
    </w:p>
    <w:p w:rsidR="00EF13EF" w:rsidRDefault="00EF13EF">
      <w:pPr>
        <w:spacing w:after="80"/>
      </w:pPr>
    </w:p>
    <w:p w:rsidR="00EF13EF" w:rsidRDefault="00EF13EF">
      <w:pPr>
        <w:spacing w:after="80"/>
      </w:pPr>
    </w:p>
    <w:p w:rsidR="00EF13EF" w:rsidRDefault="00EF13EF">
      <w:pPr>
        <w:spacing w:after="80"/>
      </w:pPr>
    </w:p>
    <w:p w:rsidR="00EF13EF" w:rsidRDefault="0037069C">
      <w:pPr>
        <w:spacing w:after="200"/>
        <w:jc w:val="center"/>
      </w:pPr>
      <w:r>
        <w:rPr>
          <w:b/>
          <w:bCs/>
          <w:color w:val="2E5090"/>
          <w:sz w:val="28"/>
          <w:szCs w:val="28"/>
        </w:rPr>
        <w:t>PART V</w:t>
      </w:r>
    </w:p>
    <w:p w:rsidR="00EF13EF" w:rsidRDefault="0037069C">
      <w:pPr>
        <w:spacing w:after="100"/>
        <w:jc w:val="center"/>
      </w:pPr>
      <w:r>
        <w:rPr>
          <w:color w:val="2E5090"/>
          <w:sz w:val="24"/>
          <w:szCs w:val="24"/>
        </w:rPr>
        <w:t>End-to-End LLM Workflow &amp; Appendices</w:t>
      </w:r>
    </w:p>
    <w:p w:rsidR="00EF13EF" w:rsidRDefault="00EF13EF">
      <w:pPr>
        <w:spacing w:after="80"/>
      </w:pPr>
    </w:p>
    <w:p w:rsidR="00EF13EF" w:rsidRDefault="0037069C">
      <w:pPr>
        <w:spacing w:after="200"/>
        <w:jc w:val="center"/>
      </w:pPr>
      <w:r>
        <w:rPr>
          <w:b/>
          <w:bCs/>
          <w:color w:val="1B3A5C"/>
          <w:sz w:val="44"/>
          <w:szCs w:val="44"/>
        </w:rPr>
        <w:t>Chapter 13: The Complete LLM Workflow</w:t>
      </w:r>
    </w:p>
    <w:p w:rsidR="00EF13EF" w:rsidRDefault="0037069C">
      <w:pPr>
        <w:spacing w:after="100"/>
        <w:jc w:val="center"/>
      </w:pPr>
      <w:r>
        <w:rPr>
          <w:color w:val="1B3A5C"/>
          <w:sz w:val="36"/>
          <w:szCs w:val="36"/>
        </w:rPr>
        <w:t>From Concept to Production</w:t>
      </w:r>
    </w:p>
    <w:p w:rsidR="00EF13EF" w:rsidRDefault="00EF13EF">
      <w:pPr>
        <w:spacing w:after="80"/>
      </w:pPr>
    </w:p>
    <w:p w:rsidR="00EF13EF" w:rsidRDefault="0037069C">
      <w:pPr>
        <w:spacing w:after="80"/>
        <w:jc w:val="center"/>
      </w:pPr>
      <w:r>
        <w:rPr>
          <w:color w:val="2E5090"/>
          <w:sz w:val="24"/>
          <w:szCs w:val="24"/>
        </w:rPr>
        <w:t>The 15-Step Production Workflow + Agent Memory Deep Dive</w:t>
      </w:r>
    </w:p>
    <w:p w:rsidR="00EF13EF" w:rsidRDefault="0037069C">
      <w:pPr>
        <w:spacing w:after="80"/>
        <w:jc w:val="center"/>
      </w:pPr>
      <w:r>
        <w:rPr>
          <w:color w:val="2E5090"/>
          <w:sz w:val="24"/>
          <w:szCs w:val="24"/>
        </w:rPr>
        <w:t>Agent Reasoning Patterns + Production Lifecycle + Knowledge Graphs</w:t>
      </w:r>
    </w:p>
    <w:p w:rsidR="00EF13EF" w:rsidRDefault="0037069C">
      <w:pPr>
        <w:spacing w:after="80"/>
        <w:jc w:val="center"/>
      </w:pPr>
      <w:r>
        <w:rPr>
          <w:color w:val="2E5090"/>
          <w:sz w:val="24"/>
          <w:szCs w:val="24"/>
        </w:rPr>
        <w:t>Glossary, Pricing, Tools &amp; Security Checklist</w:t>
      </w:r>
    </w:p>
    <w:p w:rsidR="00EF13EF" w:rsidRDefault="00EF13EF">
      <w:pPr>
        <w:spacing w:after="80"/>
      </w:pPr>
    </w:p>
    <w:p w:rsidR="00EF13EF" w:rsidRDefault="00EF13EF">
      <w:pPr>
        <w:spacing w:after="80"/>
      </w:pPr>
    </w:p>
    <w:p w:rsidR="00EF13EF" w:rsidRDefault="00EF13EF">
      <w:pPr>
        <w:spacing w:after="80"/>
      </w:pPr>
    </w:p>
    <w:p w:rsidR="00EF13EF" w:rsidRDefault="00EF13EF">
      <w:pPr>
        <w:spacing w:after="80"/>
      </w:pPr>
    </w:p>
    <w:p w:rsidR="00EF13EF" w:rsidRDefault="0037069C">
      <w:pPr>
        <w:spacing w:after="40"/>
        <w:jc w:val="center"/>
      </w:pPr>
      <w:r>
        <w:rPr>
          <w:i/>
          <w:iCs/>
          <w:color w:val="555555"/>
        </w:rPr>
        <w:t>From: Advanced AI Agents That Think — 2026 Edition</w:t>
      </w:r>
    </w:p>
    <w:p w:rsidR="00EF13EF" w:rsidRDefault="0037069C">
      <w:pPr>
        <w:spacing w:after="40"/>
        <w:jc w:val="center"/>
      </w:pPr>
      <w:r>
        <w:rPr>
          <w:color w:val="777777"/>
          <w:sz w:val="20"/>
          <w:szCs w:val="20"/>
        </w:rPr>
        <w:t>Document Version: 2026.4 | March 2026 | Enterprise AI Engineering Team</w:t>
      </w:r>
    </w:p>
    <w:p w:rsidR="00EF13EF" w:rsidRDefault="0037069C">
      <w:pPr>
        <w:spacing w:after="40"/>
        <w:jc w:val="center"/>
      </w:pPr>
      <w:r>
        <w:rPr>
          <w:color w:val="777777"/>
          <w:sz w:val="20"/>
          <w:szCs w:val="20"/>
        </w:rPr>
        <w:t>Consolidated from Grok, DeepSeek, Kimai, and Production Lifecycle sources</w:t>
      </w:r>
    </w:p>
    <w:p w:rsidR="00EF13EF" w:rsidRDefault="0037069C">
      <w:pPr>
        <w:jc w:val="center"/>
      </w:pPr>
      <w:r>
        <w:rPr>
          <w:color w:val="777777"/>
          <w:sz w:val="20"/>
          <w:szCs w:val="20"/>
        </w:rPr>
        <w:t xml:space="preserve">With BFSI </w:t>
      </w:r>
      <w:r>
        <w:rPr>
          <w:color w:val="777777"/>
          <w:sz w:val="20"/>
          <w:szCs w:val="20"/>
        </w:rPr>
        <w:t>/ Client Connect Enterprise Context</w:t>
      </w:r>
    </w:p>
    <w:p w:rsidR="00EF13EF" w:rsidRDefault="0037069C">
      <w:r>
        <w:br w:type="page"/>
      </w:r>
    </w:p>
    <w:p w:rsidR="00EF13EF" w:rsidRDefault="0037069C">
      <w:pPr>
        <w:spacing w:after="200"/>
      </w:pPr>
      <w:r>
        <w:rPr>
          <w:b/>
          <w:bCs/>
          <w:color w:val="1B3A5C"/>
          <w:sz w:val="36"/>
          <w:szCs w:val="36"/>
        </w:rPr>
        <w:lastRenderedPageBreak/>
        <w:t>Table of Contents</w:t>
      </w:r>
    </w:p>
    <w:sdt>
      <w:sdtPr>
        <w:alias w:val="Table of Contents"/>
        <w:id w:val="2040773149"/>
      </w:sdtPr>
      <w:sdtEndPr/>
      <w:sdtContent>
        <w:p w:rsidR="00745BA0" w:rsidRDefault="0037069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876140" w:history="1">
            <w:r w:rsidR="00745BA0" w:rsidRPr="009C0047">
              <w:rPr>
                <w:rStyle w:val="Hyperlink"/>
                <w:noProof/>
              </w:rPr>
              <w:t>Introduction: Building Produc</w:t>
            </w:r>
            <w:r w:rsidR="00745BA0" w:rsidRPr="009C0047">
              <w:rPr>
                <w:rStyle w:val="Hyperlink"/>
                <w:noProof/>
              </w:rPr>
              <w:t>t</w:t>
            </w:r>
            <w:r w:rsidR="00745BA0" w:rsidRPr="009C0047">
              <w:rPr>
                <w:rStyle w:val="Hyperlink"/>
                <w:noProof/>
              </w:rPr>
              <w:t>ion AI Systems</w:t>
            </w:r>
            <w:r w:rsidR="00745BA0">
              <w:rPr>
                <w:noProof/>
              </w:rPr>
              <w:tab/>
            </w:r>
            <w:r w:rsidR="00745BA0">
              <w:rPr>
                <w:noProof/>
              </w:rPr>
              <w:fldChar w:fldCharType="begin"/>
            </w:r>
            <w:r w:rsidR="00745BA0">
              <w:rPr>
                <w:noProof/>
              </w:rPr>
              <w:instrText xml:space="preserve"> PAGEREF _Toc223876140 \h </w:instrText>
            </w:r>
            <w:r w:rsidR="00745BA0">
              <w:rPr>
                <w:noProof/>
              </w:rPr>
            </w:r>
            <w:r w:rsidR="00745BA0">
              <w:rPr>
                <w:noProof/>
              </w:rPr>
              <w:fldChar w:fldCharType="separate"/>
            </w:r>
            <w:r w:rsidR="00745BA0">
              <w:rPr>
                <w:noProof/>
              </w:rPr>
              <w:t>4</w:t>
            </w:r>
            <w:r w:rsidR="00745BA0"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76141" w:history="1">
            <w:r w:rsidRPr="009C0047">
              <w:rPr>
                <w:rStyle w:val="Hyperlink"/>
                <w:noProof/>
              </w:rPr>
              <w:t>The 15-Step Production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42" w:history="1">
            <w:r w:rsidRPr="009C0047">
              <w:rPr>
                <w:rStyle w:val="Hyperlink"/>
                <w:noProof/>
              </w:rPr>
              <w:t>Phase 1: Ideation &amp; Design (Steps 1–5)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43" w:history="1">
            <w:r w:rsidRPr="009C0047">
              <w:rPr>
                <w:rStyle w:val="Hyperlink"/>
                <w:noProof/>
              </w:rPr>
              <w:t>Step 1: Define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44" w:history="1">
            <w:r w:rsidRPr="009C0047">
              <w:rPr>
                <w:rStyle w:val="Hyperlink"/>
                <w:noProof/>
              </w:rPr>
              <w:t>Step 2: Architecture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45" w:history="1">
            <w:r w:rsidRPr="009C0047">
              <w:rPr>
                <w:rStyle w:val="Hyperlink"/>
                <w:noProof/>
              </w:rPr>
              <w:t>Step 3: Tokenization &amp; Embeddings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46" w:history="1">
            <w:r w:rsidRPr="009C0047">
              <w:rPr>
                <w:rStyle w:val="Hyperlink"/>
                <w:noProof/>
              </w:rPr>
              <w:t>Step 4: Model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47" w:history="1">
            <w:r w:rsidRPr="009C0047">
              <w:rPr>
                <w:rStyle w:val="Hyperlink"/>
                <w:noProof/>
              </w:rPr>
              <w:t>Step 5: Prompt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76148" w:history="1">
            <w:r w:rsidRPr="009C0047">
              <w:rPr>
                <w:rStyle w:val="Hyperlink"/>
                <w:noProof/>
              </w:rPr>
              <w:t>Deep Dive: Agent Memory Architectures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49" w:history="1">
            <w:r w:rsidRPr="009C0047">
              <w:rPr>
                <w:rStyle w:val="Hyperlink"/>
                <w:noProof/>
              </w:rPr>
              <w:t>Short-Term Memory (STM)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50" w:history="1">
            <w:r w:rsidRPr="009C0047">
              <w:rPr>
                <w:rStyle w:val="Hyperlink"/>
                <w:noProof/>
              </w:rPr>
              <w:t>STM Implementation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51" w:history="1">
            <w:r w:rsidRPr="009C0047">
              <w:rPr>
                <w:rStyle w:val="Hyperlink"/>
                <w:noProof/>
              </w:rPr>
              <w:t>Long-Term Memory (LTM)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52" w:history="1">
            <w:r w:rsidRPr="009C0047">
              <w:rPr>
                <w:rStyle w:val="Hyperlink"/>
                <w:noProof/>
              </w:rPr>
              <w:t>Episodic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53" w:history="1">
            <w:r w:rsidRPr="009C0047">
              <w:rPr>
                <w:rStyle w:val="Hyperlink"/>
                <w:noProof/>
              </w:rPr>
              <w:t>Semantic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54" w:history="1">
            <w:r w:rsidRPr="009C0047">
              <w:rPr>
                <w:rStyle w:val="Hyperlink"/>
                <w:noProof/>
              </w:rPr>
              <w:t>Procedural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55" w:history="1">
            <w:r w:rsidRPr="009C0047">
              <w:rPr>
                <w:rStyle w:val="Hyperlink"/>
                <w:noProof/>
              </w:rPr>
              <w:t>Working Memory (Scratchpad)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56" w:history="1">
            <w:r w:rsidRPr="009C0047">
              <w:rPr>
                <w:rStyle w:val="Hyperlink"/>
                <w:noProof/>
              </w:rPr>
              <w:t>Memory Consolidation &amp; Decay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57" w:history="1">
            <w:r w:rsidRPr="009C0047">
              <w:rPr>
                <w:rStyle w:val="Hyperlink"/>
                <w:noProof/>
              </w:rPr>
              <w:t>Letta/MemGPT: Hierarchical Memory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58" w:history="1">
            <w:r w:rsidRPr="009C0047">
              <w:rPr>
                <w:rStyle w:val="Hyperlink"/>
                <w:noProof/>
              </w:rPr>
              <w:t>Vector Database Performance Benchmarks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59" w:history="1">
            <w:r w:rsidRPr="009C0047">
              <w:rPr>
                <w:rStyle w:val="Hyperlink"/>
                <w:noProof/>
              </w:rPr>
              <w:t>BFSI Memory Compliance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76160" w:history="1">
            <w:r w:rsidRPr="009C0047">
              <w:rPr>
                <w:rStyle w:val="Hyperlink"/>
                <w:noProof/>
              </w:rPr>
              <w:t>Deep Dive: Agent Reasoning &amp; Planning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61" w:history="1">
            <w:r w:rsidRPr="009C0047">
              <w:rPr>
                <w:rStyle w:val="Hyperlink"/>
                <w:noProof/>
              </w:rPr>
              <w:t>ReAct: Reason + Act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62" w:history="1">
            <w:r w:rsidRPr="009C0047">
              <w:rPr>
                <w:rStyle w:val="Hyperlink"/>
                <w:noProof/>
              </w:rPr>
              <w:t>Plan-and-Execute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63" w:history="1">
            <w:r w:rsidRPr="009C0047">
              <w:rPr>
                <w:rStyle w:val="Hyperlink"/>
                <w:noProof/>
              </w:rPr>
              <w:t>Reflection &amp; Self-Critique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64" w:history="1">
            <w:r w:rsidRPr="009C0047">
              <w:rPr>
                <w:rStyle w:val="Hyperlink"/>
                <w:noProof/>
              </w:rPr>
              <w:t>Reasoning Topology: CoT vs. ToT vs. GoT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65" w:history="1">
            <w:r w:rsidRPr="009C0047">
              <w:rPr>
                <w:rStyle w:val="Hyperlink"/>
                <w:noProof/>
              </w:rPr>
              <w:t>Tool Use &amp; Function Calling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66" w:history="1">
            <w:r w:rsidRPr="009C0047">
              <w:rPr>
                <w:rStyle w:val="Hyperlink"/>
                <w:noProof/>
              </w:rPr>
              <w:t>Multi-Agent Collaboration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67" w:history="1">
            <w:r w:rsidRPr="009C0047">
              <w:rPr>
                <w:rStyle w:val="Hyperlink"/>
                <w:noProof/>
              </w:rPr>
              <w:t>Human-in-the-Loop (HITL) Gates for BFSI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76168" w:history="1">
            <w:r w:rsidRPr="009C0047">
              <w:rPr>
                <w:rStyle w:val="Hyperlink"/>
                <w:noProof/>
              </w:rPr>
              <w:t>Production Lifecycle: LLMOps &amp;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69" w:history="1">
            <w:r w:rsidRPr="009C0047">
              <w:rPr>
                <w:rStyle w:val="Hyperlink"/>
                <w:noProof/>
              </w:rPr>
              <w:t>Monitoring: Detecting Semantic Drift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70" w:history="1">
            <w:r w:rsidRPr="009C0047">
              <w:rPr>
                <w:rStyle w:val="Hyperlink"/>
                <w:noProof/>
              </w:rPr>
              <w:t>BFSI Monitoring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71" w:history="1">
            <w:r w:rsidRPr="009C0047">
              <w:rPr>
                <w:rStyle w:val="Hyperlink"/>
                <w:noProof/>
              </w:rPr>
              <w:t>Deployment Strategies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72" w:history="1">
            <w:r w:rsidRPr="009C0047">
              <w:rPr>
                <w:rStyle w:val="Hyperlink"/>
                <w:noProof/>
              </w:rPr>
              <w:t>Inference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73" w:history="1">
            <w:r w:rsidRPr="009C0047">
              <w:rPr>
                <w:rStyle w:val="Hyperlink"/>
                <w:noProof/>
              </w:rPr>
              <w:t>Cost Optimization Strategies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76174" w:history="1">
            <w:r w:rsidRPr="009C0047">
              <w:rPr>
                <w:rStyle w:val="Hyperlink"/>
                <w:noProof/>
              </w:rPr>
              <w:t>Knowledge Graphs &amp; GraphRAG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75" w:history="1">
            <w:r w:rsidRPr="009C0047">
              <w:rPr>
                <w:rStyle w:val="Hyperlink"/>
                <w:noProof/>
              </w:rPr>
              <w:t>GraphRAG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76" w:history="1">
            <w:r w:rsidRPr="009C0047">
              <w:rPr>
                <w:rStyle w:val="Hyperlink"/>
                <w:noProof/>
              </w:rPr>
              <w:t>Hybrid Retrieval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77" w:history="1">
            <w:r w:rsidRPr="009C0047">
              <w:rPr>
                <w:rStyle w:val="Hyperlink"/>
                <w:noProof/>
              </w:rPr>
              <w:t>Banking Knowledge Graph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76178" w:history="1">
            <w:r w:rsidRPr="009C0047">
              <w:rPr>
                <w:rStyle w:val="Hyperlink"/>
                <w:noProof/>
              </w:rPr>
              <w:t>Security Implementation &amp;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79" w:history="1">
            <w:r w:rsidRPr="009C0047">
              <w:rPr>
                <w:rStyle w:val="Hyperlink"/>
                <w:noProof/>
              </w:rPr>
              <w:t>Defense-in-Depth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76180" w:history="1">
            <w:r w:rsidRPr="009C0047">
              <w:rPr>
                <w:rStyle w:val="Hyperlink"/>
                <w:noProof/>
              </w:rPr>
              <w:t>Regulatory Framework Convergence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76181" w:history="1">
            <w:r w:rsidRPr="009C0047">
              <w:rPr>
                <w:rStyle w:val="Hyperlink"/>
                <w:noProof/>
              </w:rPr>
              <w:t>Appendix A: Comprehensive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76182" w:history="1">
            <w:r w:rsidRPr="009C0047">
              <w:rPr>
                <w:rStyle w:val="Hyperlink"/>
                <w:noProof/>
              </w:rPr>
              <w:t>Appendix B: Model Pricing Quick Reference (2026)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76183" w:history="1">
            <w:r w:rsidRPr="009C0047">
              <w:rPr>
                <w:rStyle w:val="Hyperlink"/>
                <w:noProof/>
              </w:rPr>
              <w:t>Appendix C: Recommended Tools by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76184" w:history="1">
            <w:r w:rsidRPr="009C0047">
              <w:rPr>
                <w:rStyle w:val="Hyperlink"/>
                <w:noProof/>
              </w:rPr>
              <w:t>Appendix D: Comprehensive Security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85" w:history="1">
            <w:r w:rsidRPr="009C0047">
              <w:rPr>
                <w:rStyle w:val="Hyperlink"/>
                <w:noProof/>
              </w:rPr>
              <w:t>Pre-Deployment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86" w:history="1">
            <w:r w:rsidRPr="009C0047">
              <w:rPr>
                <w:rStyle w:val="Hyperlink"/>
                <w:noProof/>
              </w:rPr>
              <w:t>Runtime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87" w:history="1">
            <w:r w:rsidRPr="009C0047">
              <w:rPr>
                <w:rStyle w:val="Hyperlink"/>
                <w:noProof/>
              </w:rPr>
              <w:t>Access &amp;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88" w:history="1">
            <w:r w:rsidRPr="009C0047">
              <w:rPr>
                <w:rStyle w:val="Hyperlink"/>
                <w:noProof/>
              </w:rPr>
              <w:t>Data Protection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89" w:history="1">
            <w:r w:rsidRPr="009C0047">
              <w:rPr>
                <w:rStyle w:val="Hyperlink"/>
                <w:noProof/>
              </w:rPr>
              <w:t>Audit &amp;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45BA0" w:rsidRDefault="00745BA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76190" w:history="1">
            <w:r w:rsidRPr="009C0047">
              <w:rPr>
                <w:rStyle w:val="Hyperlink"/>
                <w:noProof/>
              </w:rPr>
              <w:t>Network &amp;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_Toc223876190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EF13EF" w:rsidRDefault="0037069C">
          <w:r>
            <w:fldChar w:fldCharType="end"/>
          </w:r>
        </w:p>
      </w:sdtContent>
    </w:sdt>
    <w:p w:rsidR="00EF13EF" w:rsidRDefault="0037069C">
      <w:r>
        <w:br w:type="page"/>
      </w:r>
    </w:p>
    <w:p w:rsidR="00EF13EF" w:rsidRDefault="0037069C">
      <w:pPr>
        <w:pStyle w:val="Heading1"/>
      </w:pPr>
      <w:bookmarkStart w:id="0" w:name="_Toc223876140"/>
      <w:r>
        <w:lastRenderedPageBreak/>
        <w:t>Introduction: Building Production AI Systems</w:t>
      </w:r>
      <w:bookmarkEnd w:id="0"/>
    </w:p>
    <w:p w:rsidR="00EF13EF" w:rsidRDefault="0037069C">
      <w:pPr>
        <w:spacing w:after="120" w:line="276" w:lineRule="auto"/>
      </w:pPr>
      <w:r>
        <w:t>Building a real-world AI application powered by Large Language Models is not just about selecting a powerful model—it’s about orchestrating a symphony of technical, ethical, and operational decisions. This chapter distills the entire process into a 15-step</w:t>
      </w:r>
      <w:r>
        <w:t xml:space="preserve"> production workflow, extended with comprehensive deep-dive sections on Agent Memory Architectures, Reasoning Patterns, Production Lifecycle Management, and Knowledge Graph integration.</w:t>
      </w:r>
    </w:p>
    <w:p w:rsidR="00EF13EF" w:rsidRDefault="0037069C">
      <w:pPr>
        <w:spacing w:after="120" w:line="276" w:lineRule="auto"/>
      </w:pPr>
      <w:r>
        <w:t>This consolidated edition merges insights from multiple expert sources and research, with specific focus on Banking, Financial Services, and Insurance (BFSI) enterprise contexts where auditability, compliance, and reliability are non-negotiable. Whether yo</w:t>
      </w:r>
      <w:r>
        <w:t>u’re an architect sketching high-level designs, an engineer implementing pipelines, or a quality leader ensuring robustness, this guide provides the comprehensive blueprint for transforming abstract ideas into scalable, secure AI systems.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13E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8" w:space="0" w:color="3B82F6"/>
              <w:bottom w:val="single" w:sz="1" w:space="0" w:color="3B82F6"/>
              <w:right w:val="single" w:sz="1" w:space="0" w:color="3B82F6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13EF" w:rsidRDefault="0037069C">
            <w:pPr>
              <w:spacing w:after="60"/>
            </w:pPr>
            <w:r>
              <w:rPr>
                <w:b/>
                <w:bCs/>
                <w:color w:val="1B3A5C"/>
              </w:rPr>
              <w:t>Document Scope</w:t>
            </w:r>
          </w:p>
          <w:p w:rsidR="00745BA0" w:rsidRDefault="003706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 xml:space="preserve">is chapter covers: </w:t>
            </w:r>
          </w:p>
          <w:p w:rsidR="00745BA0" w:rsidRDefault="003706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(1) The 15-Step Production Workflow with detailed guidance per step, </w:t>
            </w:r>
          </w:p>
          <w:p w:rsidR="00745BA0" w:rsidRDefault="003706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(2) Deep-dive on Agent Memory Architectures including STM, LTM, episodic/semantic/procedural memory, </w:t>
            </w:r>
          </w:p>
          <w:p w:rsidR="00745BA0" w:rsidRDefault="003706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(3) Agent Reasoning Patterns—ReAct, Plan-and-Execute, Reflection, C</w:t>
            </w:r>
            <w:r>
              <w:rPr>
                <w:sz w:val="20"/>
                <w:szCs w:val="20"/>
              </w:rPr>
              <w:t xml:space="preserve">oT/ToT/GoT, </w:t>
            </w:r>
          </w:p>
          <w:p w:rsidR="00745BA0" w:rsidRDefault="003706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(4) Production Lifecycle—LLMOps, CI/CD, monitoring, deployment strategies, </w:t>
            </w:r>
          </w:p>
          <w:p w:rsidR="00EF13EF" w:rsidRDefault="0037069C">
            <w:bookmarkStart w:id="1" w:name="_GoBack"/>
            <w:bookmarkEnd w:id="1"/>
            <w:r>
              <w:rPr>
                <w:sz w:val="20"/>
                <w:szCs w:val="20"/>
              </w:rPr>
              <w:t>(5) Knowledge Graphs + GraphRAG integration, (6) Updated Appendices—Glossary, Pricing, Tools, and Security Checklist.</w:t>
            </w:r>
          </w:p>
        </w:tc>
      </w:tr>
    </w:tbl>
    <w:p w:rsidR="00EF13EF" w:rsidRDefault="0037069C">
      <w:r>
        <w:br w:type="page"/>
      </w:r>
    </w:p>
    <w:p w:rsidR="00EF13EF" w:rsidRDefault="0037069C">
      <w:pPr>
        <w:pStyle w:val="Heading1"/>
      </w:pPr>
      <w:bookmarkStart w:id="2" w:name="_Toc223876141"/>
      <w:r>
        <w:lastRenderedPageBreak/>
        <w:t>The 15-Step Production Workflow</w:t>
      </w:r>
      <w:bookmarkEnd w:id="2"/>
    </w:p>
    <w:p w:rsidR="00EF13EF" w:rsidRDefault="0037069C">
      <w:pPr>
        <w:spacing w:after="120" w:line="276" w:lineRule="auto"/>
      </w:pPr>
      <w:r>
        <w:t>This workflow is</w:t>
      </w:r>
      <w:r>
        <w:t xml:space="preserve"> divided into five phases: Ideation, Design, Implementation, Validation, and Operations. Each step includes a key decision point, deliverables, and potential risks. The table below summarizes all steps for quick reference.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1500"/>
        <w:gridCol w:w="4241"/>
        <w:gridCol w:w="2985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Key Decision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Ideation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What problem, who are users, success metrics (e.g., accuracy &gt;95%)?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Requirements document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Ideation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Cloud vs. on-prem, API-based vs. self-hosted?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Architecture diagram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Design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Tokenizer selection (BPE), embedding model, token budget?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Token budget &amp; embedding strategy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Design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Capability vs. cost, open vs. proprietary model?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Model contract / selection report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Design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Zero-shot, few-shot, CoT, or ReAct prompting?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Prompt library with A/B tests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Implementation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STM via context or LTM via vector DB? Hybrid?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Memory schema &amp; integration code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7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Implementation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Chunking strategy, embedding model, retrieval approach?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Vector DB setup with indexed corpus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8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Implementation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Entity extraction, graph queries (Cypher/SPARQL)?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Knowledge graph schema &amp; engine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9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Implementation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Input → Embed → Retrieve → Augment → Validate pipeline?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Pipeline code (e.g., LangChain)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LoRA/QLoRA vs. full fine-tuning?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Fine-tuned model artifacts &amp; logs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11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Input validation, PII redaction, DLP for outputs?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Security policy &amp; guardrail configs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12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Offline benchmarks, A/B testing, drift detection?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Evaluation suite with dashboards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13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Operations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LangGraph, CrewAI, or custom framework?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Agent orchestration code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14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Operations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APIs with auth (OAuth/JWT) and rate limits?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Tool registry &amp; access policies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15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Operations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Docker, Kubernetes, vLLM, auto-scaling?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Production system with CI/CD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pStyle w:val="Heading2"/>
      </w:pPr>
      <w:bookmarkStart w:id="3" w:name="_Toc223876142"/>
      <w:r>
        <w:t>Phase 1: Ideation &amp; Design (Steps 1–5)</w:t>
      </w:r>
      <w:bookmarkEnd w:id="3"/>
    </w:p>
    <w:p w:rsidR="00EF13EF" w:rsidRDefault="0037069C">
      <w:pPr>
        <w:pStyle w:val="Heading3"/>
      </w:pPr>
      <w:bookmarkStart w:id="4" w:name="_Toc223876143"/>
      <w:r>
        <w:t>Step 1: Define Use Case</w:t>
      </w:r>
      <w:bookmarkEnd w:id="4"/>
    </w:p>
    <w:p w:rsidR="00EF13EF" w:rsidRDefault="0037069C">
      <w:pPr>
        <w:spacing w:after="120" w:line="276" w:lineRule="auto"/>
      </w:pPr>
      <w:r>
        <w:t>Start here to avoid building the wrong thing. Conduct stakeholder workshops using frameworks like Jobs-to-be-Done (JTBD) to map user pain points. Define SMART metrics: Specific (e.g., hallucination rate &lt;</w:t>
      </w:r>
      <w:r>
        <w:t>5%), Measurable (via tools like LangSmith), Achievable, Relevant, Time-bound.</w:t>
      </w:r>
    </w:p>
    <w:p w:rsidR="00EF13EF" w:rsidRDefault="0037069C">
      <w:pPr>
        <w:spacing w:after="120" w:line="276" w:lineRule="auto"/>
      </w:pPr>
      <w:r>
        <w:rPr>
          <w:b/>
          <w:bCs/>
        </w:rPr>
        <w:t xml:space="preserve">BFSI Example: </w:t>
      </w:r>
      <w:r>
        <w:t>Success metrics for a customer service agent might include 80% tier-1 query resolution without human intervention, CSAT &gt;4.5/5, average resolution &lt;2 minutes, and z</w:t>
      </w:r>
      <w:r>
        <w:t>ero PII leaks (GDPR compliance).</w:t>
      </w:r>
    </w:p>
    <w:p w:rsidR="00EF13EF" w:rsidRDefault="0037069C">
      <w:pPr>
        <w:spacing w:after="120" w:line="276" w:lineRule="auto"/>
      </w:pPr>
      <w:r>
        <w:rPr>
          <w:b/>
          <w:bCs/>
        </w:rPr>
        <w:lastRenderedPageBreak/>
        <w:t xml:space="preserve">Output: </w:t>
      </w:r>
      <w:r>
        <w:t>A 2–3 page requirements document with user personas, epics, KPIs, and failure scenarios.</w:t>
      </w:r>
    </w:p>
    <w:p w:rsidR="00EF13EF" w:rsidRDefault="0037069C">
      <w:pPr>
        <w:pStyle w:val="Heading3"/>
      </w:pPr>
      <w:bookmarkStart w:id="5" w:name="_Toc223876144"/>
      <w:r>
        <w:t>Step 2: Architecture Design</w:t>
      </w:r>
      <w:bookmarkEnd w:id="5"/>
    </w:p>
    <w:p w:rsidR="00EF13EF" w:rsidRDefault="0037069C">
      <w:pPr>
        <w:spacing w:after="120" w:line="276" w:lineRule="auto"/>
      </w:pPr>
      <w:r>
        <w:t>Choose where your AI will live and how users interact with it. Cloud (AWS Bedrock) offers scalabil</w:t>
      </w:r>
      <w:r>
        <w:t>ity but vendor lock-in; on-prem (NVIDIA DGX) ensures data sovereignty but demands CapEx (~$100K+ for GPUs). Hybrid models (e.g., edge inference) suit latency-sensitive apps.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Cloud (API)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Self-Hosted (On-Prem)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Speed to market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Fast (hours)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Slow (weeks-months)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Cost structure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Pay-per-use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High upfront, lower per-query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Data privacy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Vendor dependent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Fully controlled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Customization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Limited to API features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Unlimited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Best for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Startups, rapid prototyping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Banks, healthcare, government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spacing w:after="120" w:line="276" w:lineRule="auto"/>
      </w:pPr>
      <w:r>
        <w:rPr>
          <w:b/>
          <w:bCs/>
        </w:rPr>
        <w:t xml:space="preserve">Key Decision: </w:t>
      </w:r>
      <w:r>
        <w:t>Start with cloud APIs for prototyping. Move to self-hosted only when data privacy requirements or query volume (&gt;2M tokens/day) justify the infrastructure investment.</w:t>
      </w:r>
    </w:p>
    <w:p w:rsidR="00EF13EF" w:rsidRDefault="0037069C">
      <w:pPr>
        <w:pStyle w:val="Heading3"/>
      </w:pPr>
      <w:bookmarkStart w:id="6" w:name="_Toc223876145"/>
      <w:r>
        <w:t>Step 3: Tokenization &amp; Embeddings</w:t>
      </w:r>
      <w:bookmarkEnd w:id="6"/>
    </w:p>
    <w:p w:rsidR="00EF13EF" w:rsidRDefault="0037069C">
      <w:pPr>
        <w:spacing w:after="120" w:line="276" w:lineRule="auto"/>
      </w:pPr>
      <w:r>
        <w:t>Tokens are the units AI processes; embedd</w:t>
      </w:r>
      <w:r>
        <w:t>ings convert text into semantic vectors for similarity search. Choose tools matching your text (multilingual data benefits from SentencePiece, reducing tokens by 20% for non-English). Budget calculation: If input=1K tokens at $0.05/1M, monthly cost for 10K</w:t>
      </w:r>
      <w:r>
        <w:t xml:space="preserve"> queries = $0.50.</w:t>
      </w:r>
    </w:p>
    <w:p w:rsidR="00EF13EF" w:rsidRDefault="0037069C">
      <w:pPr>
        <w:spacing w:after="120" w:line="276" w:lineRule="auto"/>
      </w:pPr>
      <w:r>
        <w:rPr>
          <w:b/>
          <w:bCs/>
        </w:rPr>
        <w:t xml:space="preserve">Output: </w:t>
      </w:r>
      <w:r>
        <w:t>Token budget spreadsheet and selected embedding model specifications.</w:t>
      </w:r>
    </w:p>
    <w:p w:rsidR="00EF13EF" w:rsidRDefault="0037069C">
      <w:pPr>
        <w:pStyle w:val="Heading3"/>
      </w:pPr>
      <w:bookmarkStart w:id="7" w:name="_Toc223876146"/>
      <w:r>
        <w:t>Step 4: Model Selection</w:t>
      </w:r>
      <w:bookmarkEnd w:id="7"/>
    </w:p>
    <w:p w:rsidR="00EF13EF" w:rsidRDefault="0037069C">
      <w:pPr>
        <w:spacing w:after="120" w:line="276" w:lineRule="auto"/>
      </w:pPr>
      <w:r>
        <w:t>Match the model to task complexity and budget. Use a three-tier model routing strategy: route simple FAQ queries to GPT-5 nano ($0.05/1M</w:t>
      </w:r>
      <w:r>
        <w:t>), standard tasks to GPT-5 mini ($0.25/1M), and complex reasoning to GPT-5.2 ($1.75/1M). This can reduce costs by 60–80% while maintaining quality.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360"/>
        <w:gridCol w:w="1100"/>
        <w:gridCol w:w="3900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Input/1M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Output/1M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GPT-5 nano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$0.05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$0.40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16K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Classification, simple Q&amp;A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GPT-5 mini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$0.25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$2.00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32K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Chat, summarization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GPT-5.2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$1.75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$14.00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128K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Complex reasoning, code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Claude Haiku 4.5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$1.00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$5.00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100K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Fast, efficient Q&amp;A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Claude Sonnet 4.6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$3.00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$15.00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200K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Long documents, analysis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Gemini 2.5 Flash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$0.30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$2.50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1M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Very long context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Gemini 2.5 Pro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$1.25</w:t>
            </w:r>
          </w:p>
        </w:tc>
        <w:tc>
          <w:tcPr>
            <w:tcW w:w="1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$10.00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1M</w:t>
            </w:r>
          </w:p>
        </w:tc>
        <w:tc>
          <w:tcPr>
            <w:tcW w:w="3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Multi-modal reasoning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pStyle w:val="Heading3"/>
      </w:pPr>
      <w:bookmarkStart w:id="8" w:name="_Toc223876147"/>
      <w:r>
        <w:t>Step 5: Prompt Engineering</w:t>
      </w:r>
      <w:bookmarkEnd w:id="8"/>
    </w:p>
    <w:p w:rsidR="00EF13EF" w:rsidRDefault="0037069C">
      <w:pPr>
        <w:spacing w:after="120" w:line="276" w:lineRule="auto"/>
      </w:pPr>
      <w:r>
        <w:lastRenderedPageBreak/>
        <w:t>Craft instructions using zero-shot (direct ask), few-shot (examples), Chain-of-Thought (step-by-step), or ReAct (think-act loop) patterns. A/B test prompts via promptfoo for uplift: CoT boosts reasoning by 20–30% on math tasks. Advanced: Dynamic templating</w:t>
      </w:r>
      <w:r>
        <w:t xml:space="preserve"> with Jinja2 for personalization.</w:t>
      </w:r>
    </w:p>
    <w:p w:rsidR="00EF13EF" w:rsidRDefault="0037069C">
      <w:pPr>
        <w:spacing w:after="120" w:line="276" w:lineRule="auto"/>
      </w:pPr>
      <w:r>
        <w:rPr>
          <w:b/>
          <w:bCs/>
        </w:rPr>
        <w:t xml:space="preserve">Output: </w:t>
      </w:r>
      <w:r>
        <w:t>Git repository of 50+ templates with performance metrics per use case.</w:t>
      </w:r>
    </w:p>
    <w:p w:rsidR="00EF13EF" w:rsidRDefault="0037069C">
      <w:r>
        <w:br w:type="page"/>
      </w:r>
    </w:p>
    <w:p w:rsidR="00EF13EF" w:rsidRDefault="0037069C">
      <w:pPr>
        <w:pStyle w:val="Heading1"/>
      </w:pPr>
      <w:bookmarkStart w:id="9" w:name="_Toc223876148"/>
      <w:r>
        <w:lastRenderedPageBreak/>
        <w:t>Deep Dive: Agent Memory Architectures</w:t>
      </w:r>
      <w:bookmarkEnd w:id="9"/>
    </w:p>
    <w:p w:rsidR="00EF13EF" w:rsidRDefault="0037069C">
      <w:pPr>
        <w:spacing w:after="120" w:line="276" w:lineRule="auto"/>
      </w:pPr>
      <w:r>
        <w:t>Memory is what transforms a stateless LLM into a stateful agent capable of sustained, personalized inte</w:t>
      </w:r>
      <w:r>
        <w:t>raction. This section covers the complete memory hierarchy—from immediate conversation buffers to persistent knowledge stores—with specific patterns for enterprise BFSI deployment.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13E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B82F6"/>
              <w:left w:val="single" w:sz="6" w:space="0" w:color="3B82F6"/>
              <w:bottom w:val="single" w:sz="2" w:space="0" w:color="3B82F6"/>
              <w:right w:val="single" w:sz="2" w:space="0" w:color="3B82F6"/>
            </w:tcBorders>
            <w:shd w:val="clear" w:color="auto" w:fill="F7FA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13EF" w:rsidRDefault="0037069C">
            <w:pPr>
              <w:spacing w:after="60"/>
            </w:pPr>
            <w:r>
              <w:rPr>
                <w:b/>
                <w:bCs/>
                <w:color w:val="2E5090"/>
                <w:sz w:val="20"/>
                <w:szCs w:val="20"/>
              </w:rPr>
              <w:t>Mermaid Diagram: Agent Memory Hierarchy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graph TD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A[User Input] --&gt;</w:t>
            </w: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B[Working Memory / Scratchpad]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B --&gt; C[Short-Term Memory - STM]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C --&gt;|Consolidation| D[Long-Term Memory - LTM]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D --&gt; E[Episodic Memory: Interaction Records]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D --&gt; F[Semantic Memory: Facts &amp; Knowledge]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D --&gt; G[Procedural Memory: Skills &amp; Patterns</w:t>
            </w: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C --&gt;|Retrieval| H[LLM Context Window]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D --&gt;|Retrieval| H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H --&gt; I[Agent Response]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pStyle w:val="Heading2"/>
      </w:pPr>
      <w:bookmarkStart w:id="10" w:name="_Toc223876149"/>
      <w:r>
        <w:t>Short-Term Memory (STM)</w:t>
      </w:r>
      <w:bookmarkEnd w:id="10"/>
    </w:p>
    <w:p w:rsidR="00EF13EF" w:rsidRDefault="0037069C">
      <w:pPr>
        <w:spacing w:after="120" w:line="276" w:lineRule="auto"/>
      </w:pPr>
      <w:r>
        <w:t>STM operates as the agent’s immediate conversation buffer. Modern LLMs advertise enormous context windows—GPT-4.1 supports 1M tokens, Gemini</w:t>
      </w:r>
      <w:r>
        <w:t xml:space="preserve"> 2.5 Pro handles 1M tokens, Llama 4 Scout stretches to 10M—yet effective context is only 50–65% of advertised capacity. The “lost in the middle” phenomenon means accuracy on early and late tokens reaches 85–95%, but drops to 76–82% in the middle.</w:t>
      </w:r>
    </w:p>
    <w:p w:rsidR="00EF13EF" w:rsidRDefault="0037069C">
      <w:pPr>
        <w:pStyle w:val="Heading3"/>
      </w:pPr>
      <w:bookmarkStart w:id="11" w:name="_Toc223876150"/>
      <w:r>
        <w:t>STM Implementation Patterns</w:t>
      </w:r>
      <w:bookmarkEnd w:id="11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Token-Level Sliding Window: </w:t>
      </w:r>
      <w:r>
        <w:t>Maintains a fixed token budget (e.g., 30,000 tokens in LlamaIndex’s ChatMemoryBuffer), evicting oldest tokens FIFO when capacity is exceeded. Efficient but can split semantic units.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Message-Level Wind</w:t>
      </w:r>
      <w:r>
        <w:rPr>
          <w:b/>
          <w:bCs/>
        </w:rPr>
        <w:t xml:space="preserve">ow: </w:t>
      </w:r>
      <w:r>
        <w:t>LangChain’s ConversationBufferWindowMemory(k=5) retains the last N complete message pairs, preserving semantic coherence at the cost of coarser granularity.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Summary Buffer Hybrid: </w:t>
      </w:r>
      <w:r>
        <w:t>LlamaIndex’s ChatSummaryMemoryBuffer stores recent messages verbatim whi</w:t>
      </w:r>
      <w:r>
        <w:t>le progressively summarizing older turns. Recursive summarization makes multi-pass compressions preserving critical facts.</w:t>
      </w:r>
    </w:p>
    <w:p w:rsidR="00EF13EF" w:rsidRDefault="0037069C">
      <w:pPr>
        <w:pStyle w:val="Heading2"/>
      </w:pPr>
      <w:bookmarkStart w:id="12" w:name="_Toc223876151"/>
      <w:r>
        <w:t>Long-Term Memory (LTM)</w:t>
      </w:r>
      <w:bookmarkEnd w:id="12"/>
    </w:p>
    <w:p w:rsidR="00EF13EF" w:rsidRDefault="0037069C">
      <w:pPr>
        <w:spacing w:after="120" w:line="276" w:lineRule="auto"/>
      </w:pPr>
      <w:r>
        <w:t>Agent LTM draws directly from Tulving’s 1972 cognitive taxonomy, with three memory types serving distinct functions in enterprise deployments:</w:t>
      </w:r>
    </w:p>
    <w:p w:rsidR="00EF13EF" w:rsidRDefault="0037069C">
      <w:pPr>
        <w:pStyle w:val="Heading3"/>
      </w:pPr>
      <w:bookmarkStart w:id="13" w:name="_Toc223876152"/>
      <w:r>
        <w:t>Episodic Memory</w:t>
      </w:r>
      <w:bookmarkEnd w:id="13"/>
    </w:p>
    <w:p w:rsidR="00EF13EF" w:rsidRDefault="0037069C">
      <w:pPr>
        <w:spacing w:after="120" w:line="276" w:lineRule="auto"/>
      </w:pPr>
      <w:r>
        <w:lastRenderedPageBreak/>
        <w:t>Stores specific interaction records with temporal and contextual binding—the agent’s autobiograph</w:t>
      </w:r>
      <w:r>
        <w:t>y. In BFSI, episodic memory enables a customer service agent to recall that “this customer called about a disputed charge on January 15 and was promised a callback.”</w:t>
      </w:r>
    </w:p>
    <w:p w:rsidR="00EF13EF" w:rsidRDefault="0037069C">
      <w:pPr>
        <w:shd w:val="clear" w:color="auto" w:fill="F0F4F8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Schema: {timestamp, user_message, agent_response, tool_calls, outcome, context, customer_i</w:t>
      </w:r>
      <w:r>
        <w:rPr>
          <w:rFonts w:ascii="Courier New" w:eastAsia="Courier New" w:hAnsi="Courier New" w:cs="Courier New"/>
          <w:sz w:val="18"/>
          <w:szCs w:val="18"/>
        </w:rPr>
        <w:t>d}</w:t>
      </w:r>
    </w:p>
    <w:p w:rsidR="00EF13EF" w:rsidRDefault="0037069C">
      <w:pPr>
        <w:pStyle w:val="Heading3"/>
      </w:pPr>
      <w:bookmarkStart w:id="14" w:name="_Toc223876153"/>
      <w:r>
        <w:t>Semantic Memory</w:t>
      </w:r>
      <w:bookmarkEnd w:id="14"/>
    </w:p>
    <w:p w:rsidR="00EF13EF" w:rsidRDefault="0037069C">
      <w:pPr>
        <w:spacing w:after="120" w:line="276" w:lineRule="auto"/>
      </w:pPr>
      <w:r>
        <w:t>Captures generalized facts abstracted from experience. For banking, this holds product rules, regulatory requirements, and customer profiles distilled from interactions. Letta’s archival memory stores processed, indexed knowledge in a ve</w:t>
      </w:r>
      <w:r>
        <w:t>ctor database.</w:t>
      </w:r>
    </w:p>
    <w:p w:rsidR="00EF13EF" w:rsidRDefault="0037069C">
      <w:pPr>
        <w:shd w:val="clear" w:color="auto" w:fill="F0F4F8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Schema: {fact, source, confidence, last_verified, embedding, regulatory_context}</w:t>
      </w:r>
    </w:p>
    <w:p w:rsidR="00EF13EF" w:rsidRDefault="0037069C">
      <w:pPr>
        <w:pStyle w:val="Heading3"/>
      </w:pPr>
      <w:bookmarkStart w:id="15" w:name="_Toc223876154"/>
      <w:r>
        <w:t>Procedural Memory</w:t>
      </w:r>
      <w:bookmarkEnd w:id="15"/>
    </w:p>
    <w:p w:rsidR="00EF13EF" w:rsidRDefault="0037069C">
      <w:pPr>
        <w:spacing w:after="120" w:line="276" w:lineRule="auto"/>
      </w:pPr>
      <w:r>
        <w:t>Encodes learned skills and tool-use patterns. CrewAI implements this as agent “skills”—learned tool-call sequences that improve through experi</w:t>
      </w:r>
      <w:r>
        <w:t>ence.</w:t>
      </w:r>
    </w:p>
    <w:p w:rsidR="00EF13EF" w:rsidRDefault="0037069C">
      <w:pPr>
        <w:spacing w:after="120" w:line="276" w:lineRule="auto"/>
      </w:pPr>
      <w:r>
        <w:rPr>
          <w:b/>
          <w:bCs/>
        </w:rPr>
        <w:t xml:space="preserve">BFSI Example: </w:t>
      </w:r>
      <w:r>
        <w:t>A loan processing agent’s procedural memory: “When DTI exceeds 43%, always check for compensating factors before declining.”</w:t>
      </w:r>
    </w:p>
    <w:p w:rsidR="00EF13EF" w:rsidRDefault="0037069C">
      <w:pPr>
        <w:pStyle w:val="Heading3"/>
      </w:pPr>
      <w:bookmarkStart w:id="16" w:name="_Toc223876155"/>
      <w:r>
        <w:t>Working Memory (Scratchpad)</w:t>
      </w:r>
      <w:bookmarkEnd w:id="16"/>
    </w:p>
    <w:p w:rsidR="00EF13EF" w:rsidRDefault="0037069C">
      <w:pPr>
        <w:spacing w:after="120" w:line="276" w:lineRule="auto"/>
      </w:pPr>
      <w:r>
        <w:t>The agent’s actively managed intermediate reasoning state, distinct from STM’s pass</w:t>
      </w:r>
      <w:r>
        <w:t>ive message buffer. Supports input condensation, observation abstraction, state consolidation, and plan-centric representations.</w:t>
      </w:r>
    </w:p>
    <w:p w:rsidR="00EF13EF" w:rsidRDefault="0037069C">
      <w:pPr>
        <w:shd w:val="clear" w:color="auto" w:fill="F0F4F8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working_memory = { "current_goal": "Evaluate loan #4521", "intermediate_results": {...}, "active_hypotheses": [...], "iteration</w:t>
      </w:r>
      <w:r>
        <w:rPr>
          <w:rFonts w:ascii="Courier New" w:eastAsia="Courier New" w:hAnsi="Courier New" w:cs="Courier New"/>
          <w:sz w:val="18"/>
          <w:szCs w:val="18"/>
        </w:rPr>
        <w:t>_count": 3 }</w:t>
      </w:r>
    </w:p>
    <w:p w:rsidR="00EF13EF" w:rsidRDefault="00EF13EF">
      <w:pPr>
        <w:spacing w:after="80"/>
      </w:pPr>
    </w:p>
    <w:p w:rsidR="00EF13EF" w:rsidRDefault="0037069C">
      <w:pPr>
        <w:pStyle w:val="Heading2"/>
      </w:pPr>
      <w:bookmarkStart w:id="17" w:name="_Toc223876156"/>
      <w:r>
        <w:t>Memory Consolidation &amp; Decay</w:t>
      </w:r>
      <w:bookmarkEnd w:id="17"/>
    </w:p>
    <w:p w:rsidR="00EF13EF" w:rsidRDefault="0037069C">
      <w:pPr>
        <w:spacing w:after="120" w:line="276" w:lineRule="auto"/>
      </w:pPr>
      <w:r>
        <w:t>The STM-to-LTM transfer process mirrors biological memory consolidation. The A-MAC framework evaluates five factors for memory admission: future utility, factual confidence, semantic novelty, temporal recency, and</w:t>
      </w:r>
      <w:r>
        <w:t xml:space="preserve"> content type prior (domain-specific importance weighting).</w:t>
      </w:r>
    </w:p>
    <w:p w:rsidR="00EF13EF" w:rsidRDefault="0037069C">
      <w:pPr>
        <w:spacing w:after="120" w:line="276" w:lineRule="auto"/>
      </w:pPr>
      <w:r>
        <w:rPr>
          <w:b/>
          <w:bCs/>
        </w:rPr>
        <w:t xml:space="preserve">FadeMem Decay Model: </w:t>
      </w:r>
      <w:r>
        <w:t>S(t) = S₀ · exp(-λ · t^β) where λ adapts based on importance and β differentiates memory layers (β=0.8 for LTM with ~11.25-day half-life; β=1.2 for STM with ~5.02-day half-lif</w:t>
      </w:r>
      <w:r>
        <w:t>e). FadeMem retains 82.1% of critical facts using only 55% of storage after 30 days.</w:t>
      </w:r>
    </w:p>
    <w:p w:rsidR="00EF13EF" w:rsidRDefault="0037069C">
      <w:pPr>
        <w:pStyle w:val="Heading2"/>
      </w:pPr>
      <w:bookmarkStart w:id="18" w:name="_Toc223876157"/>
      <w:r>
        <w:t>Letta/MemGPT: Hierarchical Memory Framework</w:t>
      </w:r>
      <w:bookmarkEnd w:id="18"/>
    </w:p>
    <w:p w:rsidR="00EF13EF" w:rsidRDefault="0037069C">
      <w:pPr>
        <w:spacing w:after="120" w:line="276" w:lineRule="auto"/>
      </w:pPr>
      <w:r>
        <w:t>Letta (formerly MemGPT) implements an OS-inspired three-tier memory architecture where the agent manages its own context via fu</w:t>
      </w:r>
      <w:r>
        <w:t>nction calls: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13E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B82F6"/>
              <w:left w:val="single" w:sz="6" w:space="0" w:color="3B82F6"/>
              <w:bottom w:val="single" w:sz="2" w:space="0" w:color="3B82F6"/>
              <w:right w:val="single" w:sz="2" w:space="0" w:color="3B82F6"/>
            </w:tcBorders>
            <w:shd w:val="clear" w:color="auto" w:fill="F7FA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13EF" w:rsidRDefault="0037069C">
            <w:pPr>
              <w:spacing w:after="60"/>
            </w:pPr>
            <w:r>
              <w:rPr>
                <w:b/>
                <w:bCs/>
                <w:color w:val="2E5090"/>
                <w:sz w:val="20"/>
                <w:szCs w:val="20"/>
              </w:rPr>
              <w:lastRenderedPageBreak/>
              <w:t>Mermaid Diagram: Letta/MemGPT Three-Tier Architecture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graph TD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subgraph Context_Window[LLM Context Window]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  CM[Core Memory - Always in context]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  MB[Message Buffer - Recent messages]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end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CM --&gt;|core_memory_append| CM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CM --&gt;</w:t>
            </w: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|core_memory_replace| CM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MB --&gt;|Eviction via summarization| RM[Recall Memory - Full history]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CM --&gt;|archival_memory_insert| AM[Archival Memory - Vector DB]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AM --&gt;|archival_memory_search| Context_Window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RM --&gt;|conversation_search| Context_Window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Core Memory: </w:t>
      </w:r>
      <w:r>
        <w:t>Always-in-context blocks (Persona, Human, Custom domain state). Size-limited, agent self-edits via function calls.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Recall Memory: </w:t>
      </w:r>
      <w:r>
        <w:t>Complete interaction history, auto-persisted. Searchable via conversation_search().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Archival Memory: </w:t>
      </w:r>
      <w:r>
        <w:t>Vector datab</w:t>
      </w:r>
      <w:r>
        <w:t>ase for processed knowledge. Agent manages via archival_memory_insert() and archival_memory_search().</w:t>
      </w:r>
    </w:p>
    <w:p w:rsidR="00EF13EF" w:rsidRDefault="0037069C">
      <w:pPr>
        <w:spacing w:after="120" w:line="276" w:lineRule="auto"/>
      </w:pPr>
      <w:r>
        <w:t>All state persists in PostgreSQL—not Python variables—enabling durable, resumable agent sessions across restarts and deployments.</w:t>
      </w:r>
    </w:p>
    <w:p w:rsidR="00EF13EF" w:rsidRDefault="0037069C">
      <w:pPr>
        <w:pStyle w:val="Heading2"/>
      </w:pPr>
      <w:bookmarkStart w:id="19" w:name="_Toc223876158"/>
      <w:r>
        <w:t>Vector Database Performa</w:t>
      </w:r>
      <w:r>
        <w:t>nce Benchmarks</w:t>
      </w:r>
      <w:bookmarkEnd w:id="19"/>
    </w:p>
    <w:p w:rsidR="00EF13EF" w:rsidRDefault="0037069C">
      <w:pPr>
        <w:spacing w:after="120" w:line="276" w:lineRule="auto"/>
      </w:pPr>
      <w:r>
        <w:t>Performance varies dramatically across vector databases. On the Cohere 10M dataset (1536 dimensions) at ~99% recall: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1200"/>
        <w:gridCol w:w="1200"/>
        <w:gridCol w:w="3860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Latency (p99)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Max QPS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Scale Limit</w:t>
            </w:r>
          </w:p>
        </w:tc>
        <w:tc>
          <w:tcPr>
            <w:tcW w:w="3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Zilliz Cloud (Milvus)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2.5 ms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9,704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Billions</w:t>
            </w:r>
          </w:p>
        </w:tc>
        <w:tc>
          <w:tcPr>
            <w:tcW w:w="3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Maximum throughput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Milvus (self-hosted)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2.2 ms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3,465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Billions</w:t>
            </w:r>
          </w:p>
        </w:tc>
        <w:tc>
          <w:tcPr>
            <w:tcW w:w="3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Full control, on-prem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Qdrant Cloud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6.4 ms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1,242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Billions</w:t>
            </w:r>
          </w:p>
        </w:tc>
        <w:tc>
          <w:tcPr>
            <w:tcW w:w="3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Rust performance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Pinecone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13.7 ms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1,147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Billions</w:t>
            </w:r>
          </w:p>
        </w:tc>
        <w:tc>
          <w:tcPr>
            <w:tcW w:w="3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Fully managed, easy start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pgvectorscale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~5 ms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471*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50-100M</w:t>
            </w:r>
          </w:p>
        </w:tc>
        <w:tc>
          <w:tcPr>
            <w:tcW w:w="3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PostgreSQL-native BFSI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Chroma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~10 ms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~500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~10M</w:t>
            </w:r>
          </w:p>
        </w:tc>
        <w:tc>
          <w:tcPr>
            <w:tcW w:w="3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Prototyping, local dev</w:t>
            </w:r>
          </w:p>
        </w:tc>
      </w:tr>
    </w:tbl>
    <w:p w:rsidR="00EF13EF" w:rsidRDefault="0037069C">
      <w:pPr>
        <w:spacing w:after="120" w:line="276" w:lineRule="auto"/>
      </w:pPr>
      <w:r>
        <w:t>*pgvectorscale achieved 471 QPS at 99% recall on 50M vectors vs. Qdrant’s 41 QPS—an 11.4x difference—making PostgreSQL-based solutions surprisingly competitive for BFSI organizations already running Postgres.</w:t>
      </w:r>
    </w:p>
    <w:p w:rsidR="00EF13EF" w:rsidRDefault="0037069C">
      <w:pPr>
        <w:pStyle w:val="Heading2"/>
      </w:pPr>
      <w:bookmarkStart w:id="20" w:name="_Toc223876159"/>
      <w:r>
        <w:t>BFSI Memory Compliance Patterns</w:t>
      </w:r>
      <w:bookmarkEnd w:id="20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Multi-tenant Isolation: </w:t>
      </w:r>
      <w:r>
        <w:t>Namespace-per-tenant architecture. Pinecone supports 100K namespaces, Qdrant uses collections, Milvus provides partitions.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PII-Safe Memory: </w:t>
      </w:r>
      <w:r>
        <w:t xml:space="preserve">Pre-embedding redaction pipeline: NER-based PII detection → </w:t>
      </w:r>
      <w:r>
        <w:t>tokenization/pseudonymization → embedding → vector storage, with de-tokenization only for authorized users.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Right-to-be-Forgotten: </w:t>
      </w:r>
      <w:r>
        <w:t>Map all data locations → execute deletion from ANN structures → tombstone entries → verify removal-precision@k = 0 → log to a</w:t>
      </w:r>
      <w:r>
        <w:t>udit trail. Statutory deadline: 30 days per GDPR Article 17.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Audit Trails: </w:t>
      </w:r>
      <w:r>
        <w:t>Immutable, tamper-proof logs capturing model version, agent version, memory state at decision time, confidence scores, and applicable regulatory context—per SR 11-7 requirements.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Da</w:t>
      </w:r>
      <w:r>
        <w:rPr>
          <w:b/>
          <w:bCs/>
        </w:rPr>
        <w:t xml:space="preserve">ta Retention: </w:t>
      </w:r>
      <w:r>
        <w:t>Vector records must carry TTL or explicit retention labels: 7 years for SOX transaction records, 5 years for KYC under AML directives.</w:t>
      </w:r>
    </w:p>
    <w:p w:rsidR="00EF13EF" w:rsidRDefault="0037069C">
      <w:r>
        <w:br w:type="page"/>
      </w:r>
    </w:p>
    <w:p w:rsidR="00EF13EF" w:rsidRDefault="0037069C">
      <w:pPr>
        <w:pStyle w:val="Heading1"/>
      </w:pPr>
      <w:bookmarkStart w:id="21" w:name="_Toc223876160"/>
      <w:r>
        <w:lastRenderedPageBreak/>
        <w:t>Deep Dive: Agent Reasoning &amp; Planning Patterns</w:t>
      </w:r>
      <w:bookmarkEnd w:id="21"/>
    </w:p>
    <w:p w:rsidR="00EF13EF" w:rsidRDefault="0037069C">
      <w:pPr>
        <w:spacing w:after="120" w:line="276" w:lineRule="auto"/>
      </w:pPr>
      <w:r>
        <w:t>How agents think, plan, and act determines their effective</w:t>
      </w:r>
      <w:r>
        <w:t>ness. This section covers the major reasoning architectures from simple chain-of-thought to complex multi-agent orchestration, with specific BFSI application guidance.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13E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B82F6"/>
              <w:left w:val="single" w:sz="6" w:space="0" w:color="3B82F6"/>
              <w:bottom w:val="single" w:sz="2" w:space="0" w:color="3B82F6"/>
              <w:right w:val="single" w:sz="2" w:space="0" w:color="3B82F6"/>
            </w:tcBorders>
            <w:shd w:val="clear" w:color="auto" w:fill="F7FA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13EF" w:rsidRDefault="0037069C">
            <w:pPr>
              <w:spacing w:after="60"/>
            </w:pPr>
            <w:r>
              <w:rPr>
                <w:b/>
                <w:bCs/>
                <w:color w:val="2E5090"/>
                <w:sz w:val="20"/>
                <w:szCs w:val="20"/>
              </w:rPr>
              <w:t>Mermaid Diagram: Agent Reasoning Pattern Selection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graph LR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Q[Query Complexity?] --&gt;</w:t>
            </w: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|Simple| CoT[Chain-of-Thought]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Q --&gt;|Multi-step, uncertain| ReAct[ReAct Loop]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Q --&gt;|Complex, known workflow| PE[Plan-and-Execute]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Q --&gt;|Needs self-correction| Ref[Reflection/Reflexion]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Q --&gt;|Multiple valid paths| ToT[Tree-of-Thought]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Q --&gt;|Requir</w:t>
            </w: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es aggregation| GoT[Graph-of-Thought]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Q --&gt;|Multi-perspective| MA[Multi-Agent Debate]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pStyle w:val="Heading2"/>
      </w:pPr>
      <w:bookmarkStart w:id="22" w:name="_Toc223876161"/>
      <w:r>
        <w:t>ReAct: Reason + Act Pattern</w:t>
      </w:r>
      <w:bookmarkEnd w:id="22"/>
    </w:p>
    <w:p w:rsidR="00EF13EF" w:rsidRDefault="0037069C">
      <w:pPr>
        <w:spacing w:after="120" w:line="276" w:lineRule="auto"/>
      </w:pPr>
      <w:r>
        <w:t>The ReAct pattern interleaves reasoning traces and task-specific actions in a Thought → Action → Observation loop. The LLM generates a reasoning step, selects and invokes a tool, observes the result, and iterates until reaching a final answer.</w:t>
      </w:r>
    </w:p>
    <w:p w:rsidR="00EF13EF" w:rsidRDefault="0037069C">
      <w:pPr>
        <w:spacing w:after="120" w:line="276" w:lineRule="auto"/>
      </w:pPr>
      <w:r>
        <w:rPr>
          <w:b/>
          <w:bCs/>
        </w:rPr>
        <w:t>BFSI Applica</w:t>
      </w:r>
      <w:r>
        <w:rPr>
          <w:b/>
          <w:bCs/>
        </w:rPr>
        <w:t xml:space="preserve">tion: </w:t>
      </w:r>
      <w:r>
        <w:t>Fraud investigation agent: check transaction history → cross-reference sanctions lists → verify device fingerprints → generate SAR draft, adapting path based on each observation. Every decision step is traceable, making it audit-friendly.</w:t>
      </w:r>
    </w:p>
    <w:p w:rsidR="00EF13EF" w:rsidRDefault="0037069C">
      <w:pPr>
        <w:spacing w:after="120" w:line="276" w:lineRule="auto"/>
      </w:pPr>
      <w:r>
        <w:rPr>
          <w:b/>
          <w:bCs/>
        </w:rPr>
        <w:t>Limitations</w:t>
      </w:r>
      <w:r>
        <w:rPr>
          <w:b/>
          <w:bCs/>
        </w:rPr>
        <w:t xml:space="preserve">: </w:t>
      </w:r>
      <w:r>
        <w:t>Looping risk (mitigate with max_turns), unpredictable latency, high token cost per iteration, no global planning—greedy step-by-step can miss optimal multi-step strategies.</w:t>
      </w:r>
    </w:p>
    <w:p w:rsidR="00EF13EF" w:rsidRDefault="0037069C">
      <w:pPr>
        <w:pStyle w:val="Heading2"/>
      </w:pPr>
      <w:bookmarkStart w:id="23" w:name="_Toc223876162"/>
      <w:r>
        <w:t>Plan-and-Execute Pattern</w:t>
      </w:r>
      <w:bookmarkEnd w:id="23"/>
    </w:p>
    <w:p w:rsidR="00EF13EF" w:rsidRDefault="0037069C">
      <w:pPr>
        <w:spacing w:after="120" w:line="276" w:lineRule="auto"/>
      </w:pPr>
      <w:r>
        <w:t>Separates planning from execution. A planner LLM creates</w:t>
      </w:r>
      <w:r>
        <w:t xml:space="preserve"> a full task decomposition upfront, then an executor agent (often smaller, cheaper) carries out each step. If execution results invalidate the plan, a replanner revises remaining steps.</w:t>
      </w:r>
    </w:p>
    <w:p w:rsidR="00EF13EF" w:rsidRDefault="0037069C">
      <w:pPr>
        <w:spacing w:after="120" w:line="276" w:lineRule="auto"/>
      </w:pPr>
      <w:r>
        <w:rPr>
          <w:b/>
          <w:bCs/>
        </w:rPr>
        <w:t xml:space="preserve">BFSI Application: </w:t>
      </w:r>
      <w:r>
        <w:t>Mortgage origination: extract and validate documents</w:t>
      </w:r>
      <w:r>
        <w:t xml:space="preserve"> → run credit check → calculate DTI → appraise collateral → check lending policy → generate risk score → prepare disclosures → route to underwriter.</w:t>
      </w:r>
    </w:p>
    <w:p w:rsidR="00EF13EF" w:rsidRDefault="0037069C">
      <w:pPr>
        <w:spacing w:after="120" w:line="276" w:lineRule="auto"/>
      </w:pPr>
      <w:r>
        <w:rPr>
          <w:b/>
          <w:bCs/>
        </w:rPr>
        <w:t xml:space="preserve">Key Advantage: </w:t>
      </w:r>
      <w:r>
        <w:t>The plan is a reviewable artifact—compliance teams can inspect it before execution begins. I</w:t>
      </w:r>
      <w:r>
        <w:t>ndependent steps can execute concurrently, reducing total latency.</w:t>
      </w:r>
    </w:p>
    <w:p w:rsidR="00EF13EF" w:rsidRDefault="0037069C">
      <w:pPr>
        <w:pStyle w:val="Heading2"/>
      </w:pPr>
      <w:bookmarkStart w:id="24" w:name="_Toc223876163"/>
      <w:r>
        <w:t>Reflection &amp; Self-Critique</w:t>
      </w:r>
      <w:bookmarkEnd w:id="24"/>
    </w:p>
    <w:p w:rsidR="00EF13EF" w:rsidRDefault="0037069C">
      <w:pPr>
        <w:spacing w:after="120" w:line="276" w:lineRule="auto"/>
      </w:pPr>
      <w:r>
        <w:t>The Reflexion framework implements “verbal reinforcement learning”—agents learn from mistakes by generating linguistic self-reflections stored in episodic memory.</w:t>
      </w:r>
      <w:r>
        <w:t xml:space="preserve"> Results: +22% on AlfWorld tasks and 91% pass@1 on HumanEval (vs. GPT-4’s 80%).</w:t>
      </w:r>
    </w:p>
    <w:p w:rsidR="00EF13EF" w:rsidRDefault="0037069C">
      <w:pPr>
        <w:spacing w:after="120" w:line="276" w:lineRule="auto"/>
      </w:pPr>
      <w:r>
        <w:rPr>
          <w:b/>
          <w:bCs/>
        </w:rPr>
        <w:lastRenderedPageBreak/>
        <w:t xml:space="preserve">BFSI Pattern—Regulatory Constitutional AI: </w:t>
      </w:r>
      <w:r>
        <w:t>Embed inviolable principles in the self-critique loop: “Never recommend a product without disclosing conflicts,” “All credit decision</w:t>
      </w:r>
      <w:r>
        <w:t>s must cite specific policy criteria,” “Customer PII must never appear in logs.”</w:t>
      </w:r>
    </w:p>
    <w:p w:rsidR="00EF13EF" w:rsidRDefault="0037069C">
      <w:pPr>
        <w:pStyle w:val="Heading2"/>
      </w:pPr>
      <w:bookmarkStart w:id="25" w:name="_Toc223876164"/>
      <w:r>
        <w:t>Reasoning Topology: CoT vs. ToT vs. GoT</w:t>
      </w:r>
      <w:bookmarkEnd w:id="25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Chain-of-Thought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Tree-of-Thought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Graph-of-Thought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Topology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Linear sequence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k-ary tree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Arbitrary DAG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Branching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No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Yes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Yes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Aggregation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No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No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Yes (merge branches)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Key innovation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Step-by-step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Explore + evaluate + backtrack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Generate + aggregate + refine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BFSI use case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Simple credit scoring rationale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Investment strategy exploration</w:t>
            </w:r>
          </w:p>
        </w:tc>
        <w:tc>
          <w:tcPr>
            <w:tcW w:w="25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Multi-jurisdictional regulatory analysis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spacing w:after="120" w:line="276" w:lineRule="auto"/>
      </w:pPr>
      <w:r>
        <w:t>Adaptive Graph of Thoughts (AGoT) achieves up to +46.2% improvement on GPQA scientific reasoning versus CoT by recursively decomposing only subproblems judged sufficiently complex.</w:t>
      </w:r>
    </w:p>
    <w:p w:rsidR="00EF13EF" w:rsidRDefault="0037069C">
      <w:pPr>
        <w:pStyle w:val="Heading2"/>
      </w:pPr>
      <w:bookmarkStart w:id="26" w:name="_Toc223876165"/>
      <w:r>
        <w:t>Tool Use &amp; Function Calling</w:t>
      </w:r>
      <w:bookmarkEnd w:id="26"/>
    </w:p>
    <w:p w:rsidR="00EF13EF" w:rsidRDefault="0037069C">
      <w:pPr>
        <w:spacing w:after="120" w:line="276" w:lineRule="auto"/>
      </w:pPr>
      <w:r>
        <w:t>Modern tool calling follows a structured protoc</w:t>
      </w:r>
      <w:r>
        <w:t>ol: user sends natural language → LLM outputs structured JSON tool_call → application executes tool → result returned as tool_result → LLM synthesizes. The LLM never executes code directly—critical for BFSI auditability.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Constrained Decoding: </w:t>
      </w:r>
      <w:r>
        <w:t>Production en</w:t>
      </w:r>
      <w:r>
        <w:t>gines use CFGs/FSMs to constrain output to valid JSON Schema, reducing parsing errors from 15–25% to ~0%.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MCP (Model Context Protocol): </w:t>
      </w:r>
      <w:r>
        <w:t>Anthropic’s standard separating invocation logic from implementations. Enables single tool definitions compatible across</w:t>
      </w:r>
      <w:r>
        <w:t xml:space="preserve"> OpenAI, Claude, and Gemini simultaneously.</w:t>
      </w:r>
    </w:p>
    <w:p w:rsidR="00EF13EF" w:rsidRDefault="0037069C">
      <w:pPr>
        <w:pStyle w:val="Heading2"/>
      </w:pPr>
      <w:bookmarkStart w:id="27" w:name="_Toc223876166"/>
      <w:r>
        <w:t>Multi-Agent Collaboration</w:t>
      </w:r>
      <w:bookmarkEnd w:id="27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Delegation: </w:t>
      </w:r>
      <w:r>
        <w:t>Manager → worker decomposition. Loan origination supervisor routes to KYC, credit scoring, collateral valuation, and pricing workers.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Debate/Adversarial: </w:t>
      </w:r>
      <w:r>
        <w:t>Agents argue opposin</w:t>
      </w:r>
      <w:r>
        <w:t>g positions with a judge deciding. Investment committee simulation with bull analyst, bear analyst, risk agent, and portfolio manager.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Voting: </w:t>
      </w:r>
      <w:r>
        <w:t>Improved reasoning tasks by 13.2%. Consensus improved knowledge tasks by 2.8%.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13E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8" w:space="0" w:color="3B82F6"/>
              <w:bottom w:val="single" w:sz="1" w:space="0" w:color="3B82F6"/>
              <w:right w:val="single" w:sz="1" w:space="0" w:color="3B82F6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13EF" w:rsidRDefault="0037069C">
            <w:pPr>
              <w:spacing w:after="60"/>
            </w:pPr>
            <w:r>
              <w:rPr>
                <w:b/>
                <w:bCs/>
                <w:color w:val="1B3A5C"/>
              </w:rPr>
              <w:t>BFSI Warning</w:t>
            </w:r>
          </w:p>
          <w:p w:rsidR="00EF13EF" w:rsidRDefault="0037069C">
            <w:r>
              <w:rPr>
                <w:sz w:val="20"/>
                <w:szCs w:val="20"/>
              </w:rPr>
              <w:t>Adversarial agents can collude to create false consensus (arXiv:2512.03097). Always include a compliance verifier agent checking against regulatory guidelines in debate architectures—this restored 100% accuracy in testing.</w:t>
            </w:r>
          </w:p>
        </w:tc>
      </w:tr>
    </w:tbl>
    <w:p w:rsidR="00EF13EF" w:rsidRDefault="0037069C">
      <w:pPr>
        <w:pStyle w:val="Heading2"/>
      </w:pPr>
      <w:bookmarkStart w:id="28" w:name="_Toc223876167"/>
      <w:r>
        <w:lastRenderedPageBreak/>
        <w:t>Human-in-the-Loop (HITL) Gates for BFSI</w:t>
      </w:r>
      <w:bookmarkEnd w:id="28"/>
    </w:p>
    <w:p w:rsidR="00EF13EF" w:rsidRDefault="0037069C">
      <w:pPr>
        <w:spacing w:after="120" w:line="276" w:lineRule="auto"/>
      </w:pPr>
      <w:r>
        <w:t>LangGraph’s interrupt() primitive provides production-grade HITL by pausing workflow execution at specific logical points. BFSI implementations require: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Tiered Approval: </w:t>
      </w:r>
      <w:r>
        <w:t>Auto-approve &lt;$5K, team lead &lt;$50K, department</w:t>
      </w:r>
      <w:r>
        <w:t xml:space="preserve"> head &lt;$500K, executive committee above.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Confidence-Based Escalation: </w:t>
      </w:r>
      <w:r>
        <w:t>Model confidence &lt;70% triggers human review.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Dual Control: </w:t>
      </w:r>
      <w:r>
        <w:t>Two independent approvers for SOX/Basel III compliance.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Four-Eyes Principle: </w:t>
      </w:r>
      <w:r>
        <w:t>Maker-checker per EU MiFID II/PSD2 requirements.</w:t>
      </w:r>
    </w:p>
    <w:p w:rsidR="00EF13EF" w:rsidRDefault="0037069C">
      <w:pPr>
        <w:spacing w:after="120" w:line="276" w:lineRule="auto"/>
      </w:pPr>
      <w:r>
        <w:rPr>
          <w:b/>
          <w:bCs/>
        </w:rPr>
        <w:t>C</w:t>
      </w:r>
      <w:r>
        <w:rPr>
          <w:b/>
          <w:bCs/>
        </w:rPr>
        <w:t xml:space="preserve">ritical: </w:t>
      </w:r>
      <w:r>
        <w:t>When a graph resumes from interrupt(), the entire node re-executes. Any logic before the interrupt must be idempotent to prevent duplicate financial transactions.</w:t>
      </w:r>
    </w:p>
    <w:p w:rsidR="00EF13EF" w:rsidRDefault="0037069C">
      <w:r>
        <w:br w:type="page"/>
      </w:r>
    </w:p>
    <w:p w:rsidR="00EF13EF" w:rsidRDefault="0037069C">
      <w:pPr>
        <w:pStyle w:val="Heading1"/>
      </w:pPr>
      <w:bookmarkStart w:id="29" w:name="_Toc223876168"/>
      <w:r>
        <w:lastRenderedPageBreak/>
        <w:t>Production Lifecycle: LLMOps &amp; Deployment</w:t>
      </w:r>
      <w:bookmarkEnd w:id="29"/>
    </w:p>
    <w:p w:rsidR="00EF13EF" w:rsidRDefault="0037069C">
      <w:pPr>
        <w:spacing w:after="120" w:line="276" w:lineRule="auto"/>
      </w:pPr>
      <w:r>
        <w:t>LLMOps differs from traditional MLOps in</w:t>
      </w:r>
      <w:r>
        <w:t xml:space="preserve"> fundamental ways. The primary artifact shifts from trained model binaries to prompt templates + model configuration + RAG pipeline. Iteration cycles compress from weeks-months to hours-days. The key failure mode shifts from accuracy degradation to halluci</w:t>
      </w:r>
      <w:r>
        <w:t>nation, prompt injection, and context poisoning.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13E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B82F6"/>
              <w:left w:val="single" w:sz="6" w:space="0" w:color="3B82F6"/>
              <w:bottom w:val="single" w:sz="2" w:space="0" w:color="3B82F6"/>
              <w:right w:val="single" w:sz="2" w:space="0" w:color="3B82F6"/>
            </w:tcBorders>
            <w:shd w:val="clear" w:color="auto" w:fill="F7FA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13EF" w:rsidRDefault="0037069C">
            <w:pPr>
              <w:spacing w:after="60"/>
            </w:pPr>
            <w:r>
              <w:rPr>
                <w:b/>
                <w:bCs/>
                <w:color w:val="2E5090"/>
                <w:sz w:val="20"/>
                <w:szCs w:val="20"/>
              </w:rPr>
              <w:t>Mermaid Diagram: LLMOps CI/CD Pipeline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graph LR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A[Prompt Engineering &amp; RAG Config] --&gt; B[Offline Evaluation]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B --&gt; C{CI Gate: Faithfulness &gt;= 0.85?}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C --&gt;|Pass| D[Prompt Registry Commit - Git SHA]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C --&gt;|Fail| A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D --&gt; E[Red-Team Security Scan]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E --&gt; F[Canary Deploy 5% Traffic]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F --&gt; G{Metrics OK?}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G --&gt;|Yes| H[Production Rollout]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G --&gt;|No| I[Auto-Rollback]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H --&gt; J[Continuous Monitoring]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J --&gt;|Drift Detected| A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pStyle w:val="Heading2"/>
      </w:pPr>
      <w:bookmarkStart w:id="30" w:name="_Toc223876169"/>
      <w:r>
        <w:t>Monitoring: Detecting Semantic Drift</w:t>
      </w:r>
      <w:bookmarkEnd w:id="30"/>
    </w:p>
    <w:p w:rsidR="00EF13EF" w:rsidRDefault="0037069C">
      <w:pPr>
        <w:spacing w:after="120" w:line="276" w:lineRule="auto"/>
      </w:pPr>
      <w:r>
        <w:t>LLM drift occurs in high-dimensional embedding space and reasoning structure. Traditional tests like KL divergence on token frequencies are blind to semantic changes. Production monitoring requires four complementary de</w:t>
      </w:r>
      <w:r>
        <w:t>tection methods: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60"/>
        <w:gridCol w:w="3500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Drift Type</w:t>
            </w:r>
          </w:p>
        </w:tc>
        <w:tc>
          <w:tcPr>
            <w:tcW w:w="4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Detection Method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Data drift</w:t>
            </w:r>
          </w:p>
        </w:tc>
        <w:tc>
          <w:tcPr>
            <w:tcW w:w="4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KL divergence, KS test, embedding clustering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Evidently AI, Arize, SUPERWISE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Concept drift</w:t>
            </w:r>
          </w:p>
        </w:tc>
        <w:tc>
          <w:tcPr>
            <w:tcW w:w="4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Output quality metrics over time, golden dataset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TrueFoundry, LangSmith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Semantic drift</w:t>
            </w:r>
          </w:p>
        </w:tc>
        <w:tc>
          <w:tcPr>
            <w:tcW w:w="4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Embedding space monitoring, response entropy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InsightFinder, Arize Phoenix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Model decay</w:t>
            </w:r>
          </w:p>
        </w:tc>
        <w:tc>
          <w:tcPr>
            <w:tcW w:w="4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Declining eval scores, rising hallucination rate</w:t>
            </w:r>
          </w:p>
        </w:tc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Braintrust, Confident AI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pStyle w:val="Heading3"/>
      </w:pPr>
      <w:bookmarkStart w:id="31" w:name="_Toc223876170"/>
      <w:r>
        <w:t>BFSI Monitoring Thresholds</w:t>
      </w:r>
      <w:bookmarkEnd w:id="31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P95 latency: </w:t>
      </w:r>
      <w:r>
        <w:t>&lt;2 seconds (interactive). &gt;3s triggers P2 alert.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Hallucination rate: </w:t>
      </w:r>
      <w:r>
        <w:t>&lt;2%. &gt;5% triggers critical alert with auto-rollback.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Faithfulness: </w:t>
      </w:r>
      <w:r>
        <w:t>≥0.85 on RAGAS metrics.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Toxicity: </w:t>
      </w:r>
      <w:r>
        <w:t>0 tolerance—any detection triggers immediate P1 alert.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PII leakage: </w:t>
      </w:r>
      <w:r>
        <w:t>0 tolerance—any detection triggers circuit breaker and incident res</w:t>
      </w:r>
      <w:r>
        <w:t>ponse.</w:t>
      </w:r>
    </w:p>
    <w:p w:rsidR="00EF13EF" w:rsidRDefault="0037069C">
      <w:pPr>
        <w:pStyle w:val="Heading2"/>
      </w:pPr>
      <w:bookmarkStart w:id="32" w:name="_Toc223876171"/>
      <w:r>
        <w:t>Deployment Strategies</w:t>
      </w:r>
      <w:bookmarkEnd w:id="32"/>
    </w:p>
    <w:p w:rsidR="00EF13EF" w:rsidRDefault="0037069C">
      <w:pPr>
        <w:pStyle w:val="ListParagraph"/>
        <w:numPr>
          <w:ilvl w:val="0"/>
          <w:numId w:val="3"/>
        </w:numPr>
        <w:spacing w:after="60" w:line="264" w:lineRule="auto"/>
      </w:pPr>
      <w:r>
        <w:lastRenderedPageBreak/>
        <w:t>Shadow Deployment (Week 1): New model processes all traffic in parallel without serving users. Compare outputs, validate latency, check feature availability.</w:t>
      </w:r>
    </w:p>
    <w:p w:rsidR="00EF13EF" w:rsidRDefault="0037069C">
      <w:pPr>
        <w:pStyle w:val="ListParagraph"/>
        <w:numPr>
          <w:ilvl w:val="0"/>
          <w:numId w:val="3"/>
        </w:numPr>
        <w:spacing w:after="60" w:line="264" w:lineRule="auto"/>
      </w:pPr>
      <w:r>
        <w:t>Canary Release (Week 2): 1% → 5% → 25% traffic over 5 days. Monitor a</w:t>
      </w:r>
      <w:r>
        <w:t>pproval rates, hallucination rate, latency P95, compliance flags at each stage.</w:t>
      </w:r>
    </w:p>
    <w:p w:rsidR="00EF13EF" w:rsidRDefault="0037069C">
      <w:pPr>
        <w:pStyle w:val="ListParagraph"/>
        <w:numPr>
          <w:ilvl w:val="0"/>
          <w:numId w:val="3"/>
        </w:numPr>
        <w:spacing w:after="60" w:line="264" w:lineRule="auto"/>
      </w:pPr>
      <w:r>
        <w:t>Full Rollout: Switch remaining traffic. Old model kept warm for 24-hour instant rollback capability.</w:t>
      </w:r>
    </w:p>
    <w:p w:rsidR="00EF13EF" w:rsidRDefault="0037069C">
      <w:pPr>
        <w:spacing w:after="120" w:line="276" w:lineRule="auto"/>
      </w:pPr>
      <w:r>
        <w:rPr>
          <w:b/>
          <w:bCs/>
        </w:rPr>
        <w:t xml:space="preserve">Kill Switch: </w:t>
      </w:r>
      <w:r>
        <w:t>Feature flags instantly disable any model variant if a compliance violation is detected, segmented by customer tier, product line, geography, and risk level.</w:t>
      </w:r>
    </w:p>
    <w:p w:rsidR="00EF13EF" w:rsidRDefault="0037069C">
      <w:pPr>
        <w:pStyle w:val="Heading2"/>
      </w:pPr>
      <w:bookmarkStart w:id="33" w:name="_Toc223876172"/>
      <w:r>
        <w:t>Inference Optimization</w:t>
      </w:r>
      <w:bookmarkEnd w:id="3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60"/>
        <w:gridCol w:w="2000"/>
        <w:gridCol w:w="1300"/>
        <w:gridCol w:w="2200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Engine</w:t>
            </w:r>
          </w:p>
        </w:tc>
        <w:tc>
          <w:tcPr>
            <w:tcW w:w="2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Key Innovation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Throughput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Setup Complexity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vLLM</w:t>
            </w:r>
          </w:p>
        </w:tc>
        <w:tc>
          <w:tcPr>
            <w:tcW w:w="2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PagedAtten</w:t>
            </w:r>
            <w:r>
              <w:rPr>
                <w:sz w:val="19"/>
                <w:szCs w:val="19"/>
              </w:rPr>
              <w:t>tion, ~95% GPU util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14-24x vs HuggingFace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Hours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General production use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TensorRT-LLM</w:t>
            </w:r>
          </w:p>
        </w:tc>
        <w:tc>
          <w:tcPr>
            <w:tcW w:w="2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Custom CUDA kernels, layer fusion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3.6x token throughput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Weeks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High-volume (&gt;$50K/mo)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SGLang</w:t>
            </w:r>
          </w:p>
        </w:tc>
        <w:tc>
          <w:tcPr>
            <w:tcW w:w="2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RadixAttention, stable 4-21ms/token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Comparable to vLLM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Hours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Agent/tool chains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pStyle w:val="Heading2"/>
      </w:pPr>
      <w:bookmarkStart w:id="34" w:name="_Toc223876173"/>
      <w:r>
        <w:t>Cost Optimization Strategies</w:t>
      </w:r>
      <w:bookmarkEnd w:id="34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Model Routing: </w:t>
      </w:r>
      <w:r>
        <w:t>Route queries to appropriately sized models. 37–46% reduction in LLM usage. Use LiteLLM or OpenRouter for unified APIs with cost-optimized routing.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Semantic Caching: </w:t>
      </w:r>
      <w:r>
        <w:t>Vector embeddings identify similar queries and serve cached responses. Cache hit rates 40–60%, cost reduction 15–30%, latency drops from seconds to sub-millisecond.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Quantization: </w:t>
      </w:r>
      <w:r>
        <w:t>AWQ with Marlin kernels achieves 741 tokens/second (10.9x speedup). Sweet spo</w:t>
      </w:r>
      <w:r>
        <w:t>t: GGUF Q5_K_M retaining 95–99% accuracy.</w:t>
      </w:r>
    </w:p>
    <w:p w:rsidR="00EF13EF" w:rsidRDefault="0037069C">
      <w:pPr>
        <w:spacing w:after="120" w:line="276" w:lineRule="auto"/>
      </w:pPr>
      <w:r>
        <w:rPr>
          <w:b/>
          <w:bCs/>
        </w:rPr>
        <w:t xml:space="preserve">API vs. Self-Hosted Breakeven: </w:t>
      </w:r>
      <w:r>
        <w:t>~2M tokens/day. Below: API more economical. Above: self-hosting pays back in 6–12 months but requires 10+ FTE.</w:t>
      </w:r>
    </w:p>
    <w:p w:rsidR="00EF13EF" w:rsidRDefault="0037069C">
      <w:r>
        <w:br w:type="page"/>
      </w:r>
    </w:p>
    <w:p w:rsidR="00EF13EF" w:rsidRDefault="0037069C">
      <w:pPr>
        <w:pStyle w:val="Heading1"/>
      </w:pPr>
      <w:bookmarkStart w:id="35" w:name="_Toc223876174"/>
      <w:r>
        <w:lastRenderedPageBreak/>
        <w:t>Knowledge Graphs &amp; GraphRAG Integration</w:t>
      </w:r>
      <w:bookmarkEnd w:id="35"/>
    </w:p>
    <w:p w:rsidR="00EF13EF" w:rsidRDefault="0037069C">
      <w:pPr>
        <w:spacing w:after="120" w:line="276" w:lineRule="auto"/>
      </w:pPr>
      <w:r>
        <w:t xml:space="preserve">GraphRAG combines knowledge graphs with retrieval-augmented generation to dramatically improve accuracy on complex, relational queries. For BFSI’s inherently relational data landscape (customers, accounts, transactions, regulations), this approach doubles </w:t>
      </w:r>
      <w:r>
        <w:t>accuracy compared to standard vector RAG.</w:t>
      </w:r>
    </w:p>
    <w:p w:rsidR="00EF13EF" w:rsidRDefault="0037069C">
      <w:pPr>
        <w:pStyle w:val="Heading2"/>
      </w:pPr>
      <w:bookmarkStart w:id="36" w:name="_Toc223876175"/>
      <w:r>
        <w:t>GraphRAG Performance</w:t>
      </w:r>
      <w:bookmarkEnd w:id="36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Standard RAG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GraphRAG</w:t>
            </w:r>
          </w:p>
        </w:tc>
        <w:tc>
          <w:tcPr>
            <w:tcW w:w="3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Overall accuracy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~60%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~87%</w:t>
            </w:r>
          </w:p>
        </w:tc>
        <w:tc>
          <w:tcPr>
            <w:tcW w:w="3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+45%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Complex queries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~34%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~91%</w:t>
            </w:r>
          </w:p>
        </w:tc>
        <w:tc>
          <w:tcPr>
            <w:tcW w:w="3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+168%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Simple Q&amp;A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94%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95%</w:t>
            </w:r>
          </w:p>
        </w:tc>
        <w:tc>
          <w:tcPr>
            <w:tcW w:w="3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~same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Average latency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0.8s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2.2s</w:t>
            </w:r>
          </w:p>
        </w:tc>
        <w:tc>
          <w:tcPr>
            <w:tcW w:w="3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2.75x slower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Monthly infra cost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$300-500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$800-1,500</w:t>
            </w:r>
          </w:p>
        </w:tc>
        <w:tc>
          <w:tcPr>
            <w:tcW w:w="3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2-3x higher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spacing w:after="120" w:line="276" w:lineRule="auto"/>
      </w:pPr>
      <w:r>
        <w:rPr>
          <w:b/>
          <w:bCs/>
        </w:rPr>
        <w:t xml:space="preserve">Key Finding: </w:t>
      </w:r>
      <w:r>
        <w:t>LazyGraphRAG (Microsoft, 2025) outperformed ALL comparison systems including GraphRAG, Vector RAG with 1M-token context, LightRAG, RAPTOR, and TREX across all 96 evaluation comparisons—with zero indexing cost.</w:t>
      </w:r>
    </w:p>
    <w:p w:rsidR="00EF13EF" w:rsidRDefault="0037069C">
      <w:pPr>
        <w:pStyle w:val="Heading2"/>
      </w:pPr>
      <w:bookmarkStart w:id="37" w:name="_Toc223876176"/>
      <w:r>
        <w:t>Hybrid Retrieval Architecture</w:t>
      </w:r>
      <w:bookmarkEnd w:id="37"/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13E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B82F6"/>
              <w:left w:val="single" w:sz="6" w:space="0" w:color="3B82F6"/>
              <w:bottom w:val="single" w:sz="2" w:space="0" w:color="3B82F6"/>
              <w:right w:val="single" w:sz="2" w:space="0" w:color="3B82F6"/>
            </w:tcBorders>
            <w:shd w:val="clear" w:color="auto" w:fill="F7FA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13EF" w:rsidRDefault="0037069C">
            <w:pPr>
              <w:spacing w:after="60"/>
            </w:pPr>
            <w:r>
              <w:rPr>
                <w:b/>
                <w:bCs/>
                <w:color w:val="2E5090"/>
                <w:sz w:val="20"/>
                <w:szCs w:val="20"/>
              </w:rPr>
              <w:t>Mermaid Diagram: Hybrid Retrieval Pipeline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graph LR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Q[User Query] --&gt; VS[Vector Similarity Search]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Q --&gt; GT[Graph Traversal / Cypher]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Q --&gt; KW[BM25 Keyword Search]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VS --&gt; RR[Re-Ranking Layer - Cohere/Cross-encoder]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GT --&gt; RR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KW --&gt; RR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RR --&gt; TOP[Top-K Fused Results]</w:t>
            </w:r>
          </w:p>
          <w:p w:rsidR="00EF13EF" w:rsidRDefault="0037069C">
            <w:pPr>
              <w:spacing w:after="20"/>
              <w:ind w:left="200"/>
            </w:pP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 xml:space="preserve">  TOP --&gt; LLM[LLM Generation with Context]</w:t>
            </w:r>
          </w:p>
        </w:tc>
      </w:tr>
    </w:tbl>
    <w:p w:rsidR="00EF13EF" w:rsidRDefault="00EF13EF">
      <w:pPr>
        <w:spacing w:after="80"/>
      </w:pPr>
    </w:p>
    <w:p w:rsidR="00EF13EF" w:rsidRDefault="0037069C">
      <w:pPr>
        <w:spacing w:after="120" w:line="276" w:lineRule="auto"/>
      </w:pPr>
      <w:r>
        <w:t>Multi-hop reasoning accuracy jumps from 34% (vector only) to 91% (hybrid), regulatory compliance queries from 45% to 90%. The performance gains justify a</w:t>
      </w:r>
      <w:r>
        <w:t>dded complexity because BFSI queries routinely mix semantic similarity with relational traversal.</w:t>
      </w:r>
    </w:p>
    <w:p w:rsidR="00EF13EF" w:rsidRDefault="0037069C">
      <w:pPr>
        <w:pStyle w:val="Heading2"/>
      </w:pPr>
      <w:bookmarkStart w:id="38" w:name="_Toc223876177"/>
      <w:r>
        <w:t>Banking Knowledge Graph Patterns</w:t>
      </w:r>
      <w:bookmarkEnd w:id="38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Customer 360: </w:t>
      </w:r>
      <w:r>
        <w:t>Unify customer data across channels—accounts, transactions, addresses, employment, related parties, risk profil</w:t>
      </w:r>
      <w:r>
        <w:t>es. Single Cypher query returns complete customer context for agent interactions.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Fraud Detection: </w:t>
      </w:r>
      <w:r>
        <w:t>Graph structure finds fraud rings invisible to tabular analysis. DataWalk reports 87.5% increase in fraud detection using KG-based approach.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Regulatory Knowl</w:t>
      </w:r>
      <w:r>
        <w:rPr>
          <w:b/>
          <w:bCs/>
        </w:rPr>
        <w:t xml:space="preserve">edge: </w:t>
      </w:r>
      <w:r>
        <w:t>Link regulations to controls to systems to reports to data elements—enabling automated impact assessment when regulations change.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FIBO Ontology: </w:t>
      </w:r>
      <w:r>
        <w:t xml:space="preserve">Financial Industry Business Ontology provides the standard schema foundation with 70+ agent types across </w:t>
      </w:r>
      <w:r>
        <w:t>Legal Entities, Securities, Loans, Derivatives domains.</w:t>
      </w:r>
    </w:p>
    <w:p w:rsidR="00EF13EF" w:rsidRDefault="0037069C">
      <w:r>
        <w:br w:type="page"/>
      </w:r>
    </w:p>
    <w:p w:rsidR="00EF13EF" w:rsidRDefault="0037069C">
      <w:pPr>
        <w:pStyle w:val="Heading1"/>
      </w:pPr>
      <w:bookmarkStart w:id="39" w:name="_Toc223876178"/>
      <w:r>
        <w:lastRenderedPageBreak/>
        <w:t>Security Implementation &amp; Compliance</w:t>
      </w:r>
      <w:bookmarkEnd w:id="39"/>
    </w:p>
    <w:p w:rsidR="00EF13EF" w:rsidRDefault="0037069C">
      <w:pPr>
        <w:spacing w:after="120" w:line="276" w:lineRule="auto"/>
      </w:pPr>
      <w:r>
        <w:t>The OWASP LLM Top 10 (2025) defines the threat landscape with two critical new risks: System Prompt Leakage (LLM07) and Vector/Embedding Weaknesses (LLM08). Defense requires a multi-layered approach.</w:t>
      </w:r>
    </w:p>
    <w:p w:rsidR="00EF13EF" w:rsidRDefault="0037069C">
      <w:pPr>
        <w:pStyle w:val="Heading2"/>
      </w:pPr>
      <w:bookmarkStart w:id="40" w:name="_Toc223876179"/>
      <w:r>
        <w:t>Defense-in-Depth Layers</w:t>
      </w:r>
      <w:bookmarkEnd w:id="40"/>
    </w:p>
    <w:p w:rsidR="00EF13EF" w:rsidRDefault="0037069C">
      <w:pPr>
        <w:pStyle w:val="ListParagraph"/>
        <w:numPr>
          <w:ilvl w:val="0"/>
          <w:numId w:val="3"/>
        </w:numPr>
        <w:spacing w:after="60" w:line="264" w:lineRule="auto"/>
      </w:pPr>
      <w:r>
        <w:t>Input Validation: Length limits,</w:t>
      </w:r>
      <w:r>
        <w:t xml:space="preserve"> pattern detection for injection attempts, ML-based classifiers (Lakera Guard: sub-ms latency).</w:t>
      </w:r>
    </w:p>
    <w:p w:rsidR="00EF13EF" w:rsidRDefault="0037069C">
      <w:pPr>
        <w:pStyle w:val="ListParagraph"/>
        <w:numPr>
          <w:ilvl w:val="0"/>
          <w:numId w:val="3"/>
        </w:numPr>
        <w:spacing w:after="60" w:line="264" w:lineRule="auto"/>
      </w:pPr>
      <w:r>
        <w:t>Instruction Separation: System instructions in separate channel from user input, delimiters, canary tokens.</w:t>
      </w:r>
    </w:p>
    <w:p w:rsidR="00EF13EF" w:rsidRDefault="0037069C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Output Filtering: DLP scanning for PII/credentials, </w:t>
      </w:r>
      <w:r>
        <w:t>content moderation, format validation (JSON schema enforcement).</w:t>
      </w:r>
    </w:p>
    <w:p w:rsidR="00EF13EF" w:rsidRDefault="0037069C">
      <w:pPr>
        <w:pStyle w:val="ListParagraph"/>
        <w:numPr>
          <w:ilvl w:val="0"/>
          <w:numId w:val="3"/>
        </w:numPr>
        <w:spacing w:after="60" w:line="264" w:lineRule="auto"/>
      </w:pPr>
      <w:r>
        <w:t>Least Privilege: AI agents have minimal permissions, tool access requires explicit authorization, network segmentation.</w:t>
      </w:r>
    </w:p>
    <w:p w:rsidR="00EF13EF" w:rsidRDefault="0037069C">
      <w:pPr>
        <w:pStyle w:val="ListParagraph"/>
        <w:numPr>
          <w:ilvl w:val="0"/>
          <w:numId w:val="3"/>
        </w:numPr>
        <w:spacing w:after="60" w:line="264" w:lineRule="auto"/>
      </w:pPr>
      <w:r>
        <w:t>Human-in-the-Loop: High-risk actions require human approval—financial t</w:t>
      </w:r>
      <w:r>
        <w:t>ransactions &gt;$100, data deletion, privilege escalation.</w:t>
      </w:r>
    </w:p>
    <w:p w:rsidR="00EF13EF" w:rsidRDefault="0037069C">
      <w:pPr>
        <w:pStyle w:val="ListParagraph"/>
        <w:numPr>
          <w:ilvl w:val="0"/>
          <w:numId w:val="3"/>
        </w:numPr>
        <w:spacing w:after="60" w:line="264" w:lineRule="auto"/>
      </w:pPr>
      <w:r>
        <w:t>Monitoring &amp; Response: Real-time anomaly detection, automated blocking, incident response playbooks for AI-specific threats.</w:t>
      </w:r>
    </w:p>
    <w:p w:rsidR="00EF13EF" w:rsidRDefault="0037069C">
      <w:pPr>
        <w:pStyle w:val="Heading2"/>
      </w:pPr>
      <w:bookmarkStart w:id="41" w:name="_Toc223876180"/>
      <w:r>
        <w:t>Regulatory Framework Convergence</w:t>
      </w:r>
      <w:bookmarkEnd w:id="41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BFSI Impact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NIST AI RMF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4 functions, 19 categories, 72 subcategories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Regulatory reference point; multiple regulations cite it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ISO/IEC 42001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Certifiable AI Management System (PDCA)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Demonstrates responsible AI to regulators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EU AI Act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High-risk classification for credit/insurance AI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Mandatory Aug 2026: risk mgmt, documentation, human oversight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SR 11-7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US banking model risk management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Comprehensive documentation, independent validation, monitoring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CRISP-ML(Q)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ML process model with quality assurance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Maps well to LLM development with regulatory overlays</w:t>
            </w:r>
          </w:p>
        </w:tc>
      </w:tr>
    </w:tbl>
    <w:p w:rsidR="00EF13EF" w:rsidRDefault="00EF13EF">
      <w:pPr>
        <w:spacing w:after="80"/>
      </w:pPr>
    </w:p>
    <w:p w:rsidR="00EF13EF" w:rsidRDefault="0037069C">
      <w:r>
        <w:br w:type="page"/>
      </w:r>
    </w:p>
    <w:p w:rsidR="00EF13EF" w:rsidRDefault="0037069C">
      <w:pPr>
        <w:pStyle w:val="Heading1"/>
      </w:pPr>
      <w:bookmarkStart w:id="42" w:name="_Toc223876181"/>
      <w:r>
        <w:lastRenderedPageBreak/>
        <w:t>Appendix A: Comprehensive Glossary</w:t>
      </w:r>
      <w:bookmarkEnd w:id="42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Simple Definition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Technical Detail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LLM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AI that understands and generates text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Transformer architecture, billions of parameters, trained on internet-scale data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Token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 piece of text the AI processes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~0.75 words/token; models have context window limits (4K to 10M tokens)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Embedding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Text converted to numbers capturing meaning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768-4096 dimensional vectors; similar meanings produce similar vectors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RAG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AI looks up documents before answering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Retrieval-Augmented Generation: vector search + LLM generation, +40% faithfulness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Fine-tuning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Teaching AI a specific domain with examples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Adjusting model weights; LoRA updates &lt;1% of parameters, 1000x cheaper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LoRA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Efficient model customization technique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Low-Rank Adaptation: small matrices added to model layers, 10x faster than full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Context Window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How much text AI can see at once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Ranges 4K-10M+ tokens; effective usage 50-65% of advertised capacity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Hallucination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AI generating false information confidently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Mitigate with RAG (cuts 70%), self-consistency voting, fact-check APIs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Prompt Injection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Hacking AI through malicious input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Direct/indirect/multi-turn types; defense: classifiers achieve 95% block rate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Vector DB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Database for finding similar meanings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HNSW indexing, 90%+ recall; scale from 10M (Chroma) to billions (Milvus)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Agent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AI that perceives, reasons, plans, and acts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Uses ReAct/Plan-Execute patterns; multi-agent systems for complex tasks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ReAct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Reasoning + Acting loop pattern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Thought → Action → Observation cycle; +30% faster task completion vs CoT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GraphRAG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Knowledge graph enhanced retrieval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2x accuracy on complex queries; hybrid vector + graph traversal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RLHF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Training via human preference feedback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SFT → Reward model → PPO; reduces toxicity 50%, needs 100K+ feedbacks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BFSI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Banking, Financial Services, Insurance</w:t>
            </w:r>
          </w:p>
        </w:tc>
        <w:tc>
          <w:tcPr>
            <w:tcW w:w="4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Highly regulated; SR 11-7, SOX, EU AI Act, GDPR compliance required</w:t>
            </w:r>
          </w:p>
        </w:tc>
      </w:tr>
    </w:tbl>
    <w:p w:rsidR="00EF13EF" w:rsidRDefault="0037069C">
      <w:r>
        <w:br w:type="page"/>
      </w:r>
    </w:p>
    <w:p w:rsidR="00EF13EF" w:rsidRDefault="0037069C">
      <w:pPr>
        <w:pStyle w:val="Heading1"/>
      </w:pPr>
      <w:bookmarkStart w:id="43" w:name="_Toc223876182"/>
      <w:r>
        <w:lastRenderedPageBreak/>
        <w:t>Appendix B: Model Pricing Quick Reference (2026)</w:t>
      </w:r>
      <w:bookmarkEnd w:id="43"/>
    </w:p>
    <w:p w:rsidR="00EF13EF" w:rsidRDefault="0037069C">
      <w:pPr>
        <w:spacing w:after="120" w:line="276" w:lineRule="auto"/>
      </w:pPr>
      <w:r>
        <w:t>Pricing evolves rapidly—use as a snapshot for cost modeling. TCO = (Tokens × Rate) + Infrastructure. Model routing can reduce costs by 60–80%.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5"/>
        <w:gridCol w:w="1023"/>
        <w:gridCol w:w="1189"/>
        <w:gridCol w:w="945"/>
        <w:gridCol w:w="1003"/>
        <w:gridCol w:w="3545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Input/1M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Output/1M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3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GPT-5 nano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$0.05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$0.40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16K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Very Fast</w:t>
            </w:r>
          </w:p>
        </w:tc>
        <w:tc>
          <w:tcPr>
            <w:tcW w:w="3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Classification, simple Q&amp;A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GPT-5 mini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$0.25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$2.00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32K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Fast</w:t>
            </w:r>
          </w:p>
        </w:tc>
        <w:tc>
          <w:tcPr>
            <w:tcW w:w="3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General tasks, chatbots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GPT-5.2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$1.75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$14.00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128K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3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Complex reasoning, coding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Claude Haiku 4.5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$1.00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$5.00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100K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Fast</w:t>
            </w:r>
          </w:p>
        </w:tc>
        <w:tc>
          <w:tcPr>
            <w:tcW w:w="3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Fast, efficient processing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Claude Sonnet 4.6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$3.00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$15.00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200K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3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Long docs, creative, analysis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Gemini 2.5 Flash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$0.30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$2.50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1M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Fast</w:t>
            </w:r>
          </w:p>
        </w:tc>
        <w:tc>
          <w:tcPr>
            <w:tcW w:w="3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Very long context, speed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Gemini 2.5 Pro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$1.25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$10.00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1M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3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Multi-modal, research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Llama 3.1 (70B)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$0.00*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$0.00*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128K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Varies</w:t>
            </w:r>
          </w:p>
        </w:tc>
        <w:tc>
          <w:tcPr>
            <w:tcW w:w="3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Self-hosted, privacy-first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Mistral Large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$2.00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$6.00</w:t>
            </w:r>
          </w:p>
        </w:tc>
        <w:tc>
          <w:tcPr>
            <w:tcW w:w="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128K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3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European data sovereignty</w:t>
            </w:r>
          </w:p>
        </w:tc>
      </w:tr>
    </w:tbl>
    <w:p w:rsidR="00EF13EF" w:rsidRDefault="0037069C">
      <w:pPr>
        <w:spacing w:after="120" w:line="276" w:lineRule="auto"/>
      </w:pPr>
      <w:r>
        <w:t>*Self-hosted infrastructure costs apply. Typical GPU costs: H100 ~$2-3/hr, B200 ~$5-7/hr (cloud), $30K-40K purchase.</w:t>
      </w:r>
    </w:p>
    <w:p w:rsidR="00EF13EF" w:rsidRDefault="0037069C">
      <w:r>
        <w:br w:type="page"/>
      </w:r>
    </w:p>
    <w:p w:rsidR="00EF13EF" w:rsidRDefault="0037069C">
      <w:pPr>
        <w:pStyle w:val="Heading1"/>
      </w:pPr>
      <w:bookmarkStart w:id="44" w:name="_Toc223876183"/>
      <w:r>
        <w:lastRenderedPageBreak/>
        <w:t>Appendix C: Recommended Tools by Category</w:t>
      </w:r>
      <w:bookmarkEnd w:id="44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2700"/>
        <w:gridCol w:w="2460"/>
      </w:tblGrid>
      <w:tr w:rsidR="00EF1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Open Source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Enterprise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b/>
                <w:bCs/>
                <w:color w:val="FFFFFF"/>
                <w:sz w:val="20"/>
                <w:szCs w:val="20"/>
              </w:rPr>
              <w:t>Emerging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Vector Database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Chroma, Weaviate, pgvector, Milvus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Pinecone, Azure AI Search, MongoDB Atlas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Vespa, Redis Vector, pgvectorscale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Orchestration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LangChain, LlamaIndex, LangGraph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Azure AI Studio, AWS Bedrock, Vertex AI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DSPy, Haystack, Dify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Arize Phoenix, Helicone, Langfuse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Datadog, Splunk, New Relic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LangSmith, Opik, Braintrust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Guardrails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NeMo Guardrails, Guardrails AI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Lakera, Protect AI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Arthur AI, Aporia, LLM Guard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Testing/Eval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promptfoo, RAGAS, TruLens, DeepEval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Custom enterprise suites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Weights &amp; Biases, MLflow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Inference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vLLM, TGI, SGLang, llama.cpp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TensorRT-LLM, Azure OpenAI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Fireworks, Together AI, Groq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Agent Frameworks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LangGraph, CrewAI, AutoGen/AG2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Microsoft Copilot Studio, Amazon Q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Dify, Flowise, n8n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Memory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Letta/MemGPT, Mem0, LangChain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Pinecone Serverless, Zilliz Cloud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Graphlit, Zep, MotherDuck</w:t>
            </w:r>
          </w:p>
        </w:tc>
      </w:tr>
      <w:tr w:rsidR="00EF13E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Knowledge Graphs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Neo4j Community, Apache Jena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Neo4j Enterprise, TigerGraph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13EF" w:rsidRDefault="0037069C">
            <w:r>
              <w:rPr>
                <w:sz w:val="19"/>
                <w:szCs w:val="19"/>
              </w:rPr>
              <w:t>Amazon Neptune, ArangoDB</w:t>
            </w:r>
          </w:p>
        </w:tc>
      </w:tr>
    </w:tbl>
    <w:p w:rsidR="00EF13EF" w:rsidRDefault="0037069C">
      <w:r>
        <w:br w:type="page"/>
      </w:r>
    </w:p>
    <w:p w:rsidR="00EF13EF" w:rsidRDefault="0037069C">
      <w:pPr>
        <w:pStyle w:val="Heading1"/>
      </w:pPr>
      <w:bookmarkStart w:id="45" w:name="_Toc223876184"/>
      <w:r>
        <w:lastRenderedPageBreak/>
        <w:t>Appendix D: Comprehensive Security Checklist</w:t>
      </w:r>
      <w:bookmarkEnd w:id="45"/>
    </w:p>
    <w:p w:rsidR="00EF13EF" w:rsidRDefault="0037069C">
      <w:pPr>
        <w:pStyle w:val="Heading3"/>
      </w:pPr>
      <w:bookmarkStart w:id="46" w:name="_Toc223876185"/>
      <w:r>
        <w:t>Pre-Deployment</w:t>
      </w:r>
      <w:bookmarkEnd w:id="46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Threat model completed for all AI components (map OWASP LLM Top 10)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Red team exercise conducted (quarterly cadence; simulate prompt injection, jailbreaks)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Penetration testing includes prompt injection and indirect injection vectors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Data classification comp</w:t>
      </w:r>
      <w:r>
        <w:t>leted (what PII/sensitive data can the AI access?)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Privacy impact assessment (PIA) completed per GDPR/CCPA requirements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Model cards documented (capabilities, limitations, risks, bias assessment)</w:t>
      </w:r>
    </w:p>
    <w:p w:rsidR="00EF13EF" w:rsidRDefault="0037069C">
      <w:pPr>
        <w:pStyle w:val="Heading3"/>
      </w:pPr>
      <w:bookmarkStart w:id="47" w:name="_Toc223876186"/>
      <w:r>
        <w:t>Runtime Controls</w:t>
      </w:r>
      <w:bookmarkEnd w:id="47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Input validation and sanitization (length li</w:t>
      </w:r>
      <w:r>
        <w:t>mits, pattern detection, ML classifiers)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Prompt injection detection (ML-based + rule-based filters; target &gt;95% block rate)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Output DLP scanning for PII, credentials, internal data (Microsoft Purview / custom)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Rate limiting per user/IP/model endpoint (e.g., 100 RPM/user via Redis)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Behavioral anomaly detection on outputs (entropy monitoring, consistency checks)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Content safety filters (toxicity, bias, harm; zero tolerance for BFSI)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Canary tokens in system prompts to detect leakage attempts</w:t>
      </w:r>
    </w:p>
    <w:p w:rsidR="00EF13EF" w:rsidRDefault="0037069C">
      <w:pPr>
        <w:pStyle w:val="Heading3"/>
      </w:pPr>
      <w:bookmarkStart w:id="48" w:name="_Toc223876187"/>
      <w:r>
        <w:t>Access &amp; Identity</w:t>
      </w:r>
      <w:bookmarkEnd w:id="48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SSO with MFA for all human access (enforce biometrics for high-risk operations)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RBAC with fine-grained permissions per model, tool, and data source (OPA policies)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Service accounts</w:t>
      </w:r>
      <w:r>
        <w:t xml:space="preserve"> with minimal privileges; no shared credentials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API key rotation policy (90-day maximum; weekly for high-security keys)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Secrets management via HashiCorp Vault or cloud KMS with auto-rotation</w:t>
      </w:r>
    </w:p>
    <w:p w:rsidR="00EF13EF" w:rsidRDefault="0037069C">
      <w:pPr>
        <w:pStyle w:val="Heading3"/>
      </w:pPr>
      <w:bookmarkStart w:id="49" w:name="_Toc223876188"/>
      <w:r>
        <w:t>Data Protection</w:t>
      </w:r>
      <w:bookmarkEnd w:id="49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Encryption at rest (AES-256 for all data stores i</w:t>
      </w:r>
      <w:r>
        <w:t>ncluding vector databases)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Encryption in transit (TLS 1.3 minimum; cert rotation every 90 days)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PII redaction before model input (Presidio: 95% accuracy on NER-based detection)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Data retention policies enforced (SOX: 7 years, KYC/AML: 5 years, GDPR: minimum</w:t>
      </w:r>
      <w:r>
        <w:t xml:space="preserve"> necessary)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Geographic data residency compliance (EU data stays in EU; Asian markets per local law)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Vector embedding PII risk assessment (embeddings may encode PII in non-reversible ways)</w:t>
      </w:r>
    </w:p>
    <w:p w:rsidR="00EF13EF" w:rsidRDefault="0037069C">
      <w:pPr>
        <w:pStyle w:val="Heading3"/>
      </w:pPr>
      <w:bookmarkStart w:id="50" w:name="_Toc223876189"/>
      <w:r>
        <w:t>Audit &amp; Compliance</w:t>
      </w:r>
      <w:bookmarkEnd w:id="50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Immutable audit logging for all prompt/response p</w:t>
      </w:r>
      <w:r>
        <w:t>airs (S3 WORM / immutable storage)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>Audit log retention: 1 year minimum, 7 years for SOX-covered transactions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SOC 2 Type II, ISO 27001, GDPR compliance verified and current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NIST AI RMF alignment documented with evidence for each applicable subcategory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EU AI</w:t>
      </w:r>
      <w:r>
        <w:t xml:space="preserve"> Act high-risk conformity assessment prepared (mandatory August 2026)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Incident response playbook for AI-specific threats (hallucination, injection, data leak)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SR 11-7 model documentation: complete model inventory, validation, ongoing monitoring</w:t>
      </w:r>
    </w:p>
    <w:p w:rsidR="00EF13EF" w:rsidRDefault="0037069C">
      <w:pPr>
        <w:pStyle w:val="Heading3"/>
      </w:pPr>
      <w:bookmarkStart w:id="51" w:name="_Toc223876190"/>
      <w:r>
        <w:t>Network &amp; I</w:t>
      </w:r>
      <w:r>
        <w:t>nfrastructure</w:t>
      </w:r>
      <w:bookmarkEnd w:id="51"/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Network micro-segmentation between all AI components (zero-trust with mTLS)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WAF configured with AI-specific rules (block common injection patterns)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DDoS protection enabled on all model-serving endpoints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Container security scanning in CI/CD pipeline (Trivy, Snyk)</w:t>
      </w:r>
    </w:p>
    <w:p w:rsidR="00EF13EF" w:rsidRDefault="0037069C">
      <w:pPr>
        <w:pStyle w:val="ListParagraph"/>
        <w:numPr>
          <w:ilvl w:val="0"/>
          <w:numId w:val="2"/>
        </w:numPr>
        <w:spacing w:after="60" w:line="264" w:lineRule="auto"/>
      </w:pPr>
      <w:r>
        <w:t>Air-gapped inference clusters for highest-security PII workloads</w:t>
      </w:r>
    </w:p>
    <w:p w:rsidR="00EF13EF" w:rsidRDefault="00EF13EF">
      <w:pPr>
        <w:spacing w:after="80"/>
      </w:pPr>
    </w:p>
    <w:p w:rsidR="00EF13EF" w:rsidRDefault="00EF13EF">
      <w:pPr>
        <w:pBdr>
          <w:top w:val="single" w:sz="2" w:space="0" w:color="1B3A5C"/>
        </w:pBdr>
        <w:spacing w:before="400"/>
      </w:pPr>
    </w:p>
    <w:p w:rsidR="00EF13EF" w:rsidRDefault="0037069C"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>Document Version: 2026.4 | March 2026 | Enterprise AI Engineering Team</w:t>
      </w:r>
    </w:p>
    <w:p w:rsidR="00EF13EF" w:rsidRDefault="0037069C">
      <w:pPr>
        <w:jc w:val="center"/>
      </w:pPr>
      <w:r>
        <w:rPr>
          <w:i/>
          <w:iCs/>
          <w:color w:val="888888"/>
          <w:sz w:val="18"/>
          <w:szCs w:val="18"/>
        </w:rPr>
        <w:t>Consolidated from Grok, DeepSeek, Kimai, Production Lifecy</w:t>
      </w:r>
      <w:r>
        <w:rPr>
          <w:i/>
          <w:iCs/>
          <w:color w:val="888888"/>
          <w:sz w:val="18"/>
          <w:szCs w:val="18"/>
        </w:rPr>
        <w:t>cle PDF, and Deep Research sources</w:t>
      </w:r>
    </w:p>
    <w:p w:rsidR="00EF13EF" w:rsidRDefault="0037069C">
      <w:pPr>
        <w:jc w:val="center"/>
      </w:pPr>
      <w:r>
        <w:rPr>
          <w:i/>
          <w:iCs/>
          <w:color w:val="888888"/>
          <w:sz w:val="18"/>
          <w:szCs w:val="18"/>
        </w:rPr>
        <w:t>For architects, engineers, and quality leaders | Client Connect Enterprise AI Platform</w:t>
      </w:r>
    </w:p>
    <w:sectPr w:rsidR="00EF13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069C" w:rsidRDefault="0037069C">
      <w:r>
        <w:separator/>
      </w:r>
    </w:p>
  </w:endnote>
  <w:endnote w:type="continuationSeparator" w:id="0">
    <w:p w:rsidR="0037069C" w:rsidRDefault="00370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13EF" w:rsidRDefault="0037069C">
    <w:pPr>
      <w:pBdr>
        <w:top w:val="single" w:sz="1" w:space="4" w:color="E0E0E0"/>
      </w:pBdr>
      <w:jc w:val="center"/>
    </w:pPr>
    <w:r>
      <w:rPr>
        <w:color w:val="999999"/>
        <w:sz w:val="16"/>
        <w:szCs w:val="16"/>
      </w:rPr>
      <w:t xml:space="preserve">Advanced AI Agents That Think — 2026 Edition  |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745BA0">
      <w:rPr>
        <w:color w:val="999999"/>
        <w:sz w:val="16"/>
        <w:szCs w:val="16"/>
      </w:rPr>
      <w:fldChar w:fldCharType="separate"/>
    </w:r>
    <w:r w:rsidR="00745BA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069C" w:rsidRDefault="0037069C">
      <w:r>
        <w:separator/>
      </w:r>
    </w:p>
  </w:footnote>
  <w:footnote w:type="continuationSeparator" w:id="0">
    <w:p w:rsidR="0037069C" w:rsidRDefault="003706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13EF" w:rsidRDefault="0037069C">
    <w:pPr>
      <w:pBdr>
        <w:bottom w:val="single" w:sz="2" w:space="4" w:color="1B3A5C"/>
      </w:pBdr>
      <w:tabs>
        <w:tab w:val="right" w:pos="9026"/>
      </w:tabs>
    </w:pPr>
    <w:r>
      <w:rPr>
        <w:i/>
        <w:iCs/>
        <w:color w:val="1B3A5C"/>
        <w:sz w:val="16"/>
        <w:szCs w:val="16"/>
      </w:rPr>
      <w:t>Chapter 13: Complete LLM Workflow — Agent Memory, Reasoning &amp; Pr</w:t>
    </w:r>
    <w:r>
      <w:rPr>
        <w:i/>
        <w:iCs/>
        <w:color w:val="1B3A5C"/>
        <w:sz w:val="16"/>
        <w:szCs w:val="16"/>
      </w:rPr>
      <w:t>oduction</w:t>
    </w:r>
    <w:r>
      <w:rPr>
        <w:color w:val="999999"/>
        <w:sz w:val="16"/>
        <w:szCs w:val="16"/>
      </w:rPr>
      <w:tab/>
      <w:t>2026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54566"/>
    <w:multiLevelType w:val="hybridMultilevel"/>
    <w:tmpl w:val="489ABC16"/>
    <w:lvl w:ilvl="0" w:tplc="1C16DC2C">
      <w:start w:val="1"/>
      <w:numFmt w:val="bullet"/>
      <w:lvlText w:val="•"/>
      <w:lvlJc w:val="left"/>
      <w:pPr>
        <w:ind w:left="720" w:hanging="360"/>
      </w:pPr>
    </w:lvl>
    <w:lvl w:ilvl="1" w:tplc="3410B580">
      <w:start w:val="1"/>
      <w:numFmt w:val="bullet"/>
      <w:lvlText w:val="◦"/>
      <w:lvlJc w:val="left"/>
      <w:pPr>
        <w:ind w:left="1440" w:hanging="360"/>
      </w:pPr>
    </w:lvl>
    <w:lvl w:ilvl="2" w:tplc="6450DB90">
      <w:numFmt w:val="decimal"/>
      <w:lvlText w:val=""/>
      <w:lvlJc w:val="left"/>
    </w:lvl>
    <w:lvl w:ilvl="3" w:tplc="BB367522">
      <w:numFmt w:val="decimal"/>
      <w:lvlText w:val=""/>
      <w:lvlJc w:val="left"/>
    </w:lvl>
    <w:lvl w:ilvl="4" w:tplc="2C3A389A">
      <w:numFmt w:val="decimal"/>
      <w:lvlText w:val=""/>
      <w:lvlJc w:val="left"/>
    </w:lvl>
    <w:lvl w:ilvl="5" w:tplc="F8161A18">
      <w:numFmt w:val="decimal"/>
      <w:lvlText w:val=""/>
      <w:lvlJc w:val="left"/>
    </w:lvl>
    <w:lvl w:ilvl="6" w:tplc="7834F1FA">
      <w:numFmt w:val="decimal"/>
      <w:lvlText w:val=""/>
      <w:lvlJc w:val="left"/>
    </w:lvl>
    <w:lvl w:ilvl="7" w:tplc="88F49818">
      <w:numFmt w:val="decimal"/>
      <w:lvlText w:val=""/>
      <w:lvlJc w:val="left"/>
    </w:lvl>
    <w:lvl w:ilvl="8" w:tplc="4614C182">
      <w:numFmt w:val="decimal"/>
      <w:lvlText w:val=""/>
      <w:lvlJc w:val="left"/>
    </w:lvl>
  </w:abstractNum>
  <w:abstractNum w:abstractNumId="1">
    <w:nsid w:val="0DC91B21"/>
    <w:multiLevelType w:val="hybridMultilevel"/>
    <w:tmpl w:val="DE5C08D8"/>
    <w:lvl w:ilvl="0" w:tplc="B6380DCC">
      <w:start w:val="1"/>
      <w:numFmt w:val="bullet"/>
      <w:lvlText w:val="●"/>
      <w:lvlJc w:val="left"/>
      <w:pPr>
        <w:ind w:left="720" w:hanging="360"/>
      </w:pPr>
    </w:lvl>
    <w:lvl w:ilvl="1" w:tplc="86D64B2E">
      <w:start w:val="1"/>
      <w:numFmt w:val="bullet"/>
      <w:lvlText w:val="○"/>
      <w:lvlJc w:val="left"/>
      <w:pPr>
        <w:ind w:left="1440" w:hanging="360"/>
      </w:pPr>
    </w:lvl>
    <w:lvl w:ilvl="2" w:tplc="B7E68E42">
      <w:start w:val="1"/>
      <w:numFmt w:val="bullet"/>
      <w:lvlText w:val="■"/>
      <w:lvlJc w:val="left"/>
      <w:pPr>
        <w:ind w:left="2160" w:hanging="360"/>
      </w:pPr>
    </w:lvl>
    <w:lvl w:ilvl="3" w:tplc="0980DC02">
      <w:start w:val="1"/>
      <w:numFmt w:val="bullet"/>
      <w:lvlText w:val="●"/>
      <w:lvlJc w:val="left"/>
      <w:pPr>
        <w:ind w:left="2880" w:hanging="360"/>
      </w:pPr>
    </w:lvl>
    <w:lvl w:ilvl="4" w:tplc="E0DCF1D0">
      <w:start w:val="1"/>
      <w:numFmt w:val="bullet"/>
      <w:lvlText w:val="○"/>
      <w:lvlJc w:val="left"/>
      <w:pPr>
        <w:ind w:left="3600" w:hanging="360"/>
      </w:pPr>
    </w:lvl>
    <w:lvl w:ilvl="5" w:tplc="4DD8A72E">
      <w:start w:val="1"/>
      <w:numFmt w:val="bullet"/>
      <w:lvlText w:val="■"/>
      <w:lvlJc w:val="left"/>
      <w:pPr>
        <w:ind w:left="4320" w:hanging="360"/>
      </w:pPr>
    </w:lvl>
    <w:lvl w:ilvl="6" w:tplc="FE466EE8">
      <w:start w:val="1"/>
      <w:numFmt w:val="bullet"/>
      <w:lvlText w:val="●"/>
      <w:lvlJc w:val="left"/>
      <w:pPr>
        <w:ind w:left="5040" w:hanging="360"/>
      </w:pPr>
    </w:lvl>
    <w:lvl w:ilvl="7" w:tplc="3000D278">
      <w:start w:val="1"/>
      <w:numFmt w:val="bullet"/>
      <w:lvlText w:val="●"/>
      <w:lvlJc w:val="left"/>
      <w:pPr>
        <w:ind w:left="5760" w:hanging="360"/>
      </w:pPr>
    </w:lvl>
    <w:lvl w:ilvl="8" w:tplc="CEEA9EA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1DDA5950"/>
    <w:multiLevelType w:val="hybridMultilevel"/>
    <w:tmpl w:val="1B784DD0"/>
    <w:lvl w:ilvl="0" w:tplc="7E6C78B6">
      <w:start w:val="1"/>
      <w:numFmt w:val="decimal"/>
      <w:lvlText w:val="%1."/>
      <w:lvlJc w:val="left"/>
      <w:pPr>
        <w:ind w:left="720" w:hanging="360"/>
      </w:pPr>
    </w:lvl>
    <w:lvl w:ilvl="1" w:tplc="69E26D3A">
      <w:numFmt w:val="decimal"/>
      <w:lvlText w:val=""/>
      <w:lvlJc w:val="left"/>
    </w:lvl>
    <w:lvl w:ilvl="2" w:tplc="BBECC542">
      <w:numFmt w:val="decimal"/>
      <w:lvlText w:val=""/>
      <w:lvlJc w:val="left"/>
    </w:lvl>
    <w:lvl w:ilvl="3" w:tplc="1138F988">
      <w:numFmt w:val="decimal"/>
      <w:lvlText w:val=""/>
      <w:lvlJc w:val="left"/>
    </w:lvl>
    <w:lvl w:ilvl="4" w:tplc="6870FBA0">
      <w:numFmt w:val="decimal"/>
      <w:lvlText w:val=""/>
      <w:lvlJc w:val="left"/>
    </w:lvl>
    <w:lvl w:ilvl="5" w:tplc="E676F2A4">
      <w:numFmt w:val="decimal"/>
      <w:lvlText w:val=""/>
      <w:lvlJc w:val="left"/>
    </w:lvl>
    <w:lvl w:ilvl="6" w:tplc="1E1EC19C">
      <w:numFmt w:val="decimal"/>
      <w:lvlText w:val=""/>
      <w:lvlJc w:val="left"/>
    </w:lvl>
    <w:lvl w:ilvl="7" w:tplc="EFF09152">
      <w:numFmt w:val="decimal"/>
      <w:lvlText w:val=""/>
      <w:lvlJc w:val="left"/>
    </w:lvl>
    <w:lvl w:ilvl="8" w:tplc="59CC41B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EF"/>
    <w:rsid w:val="0037069C"/>
    <w:rsid w:val="00745BA0"/>
    <w:rsid w:val="00EF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602A80-35C0-4DE3-9860-B9B00D28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2E5090"/>
      <w:sz w:val="30"/>
      <w:szCs w:val="30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2E5090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45B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5BA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45BA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5650</Words>
  <Characters>32207</Characters>
  <Application>Microsoft Office Word</Application>
  <DocSecurity>0</DocSecurity>
  <Lines>268</Lines>
  <Paragraphs>75</Paragraphs>
  <ScaleCrop>false</ScaleCrop>
  <Company/>
  <LinksUpToDate>false</LinksUpToDate>
  <CharactersWithSpaces>37782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2026-03-08T09:57:00Z</dcterms:created>
  <dcterms:modified xsi:type="dcterms:W3CDTF">2026-03-08T09:59:00Z</dcterms:modified>
</cp:coreProperties>
</file>