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a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bookmarkStart w:id="2" w:name="OLE_LINK46"/>
      <w:bookmarkStart w:id="3" w:name="OLE_LINK47"/>
      <w:r w:rsidRPr="003807EF">
        <w:rPr>
          <w:rFonts w:hint="eastAsia"/>
          <w:szCs w:val="24"/>
        </w:rPr>
        <w:t>DPXA</w:t>
      </w:r>
      <w:bookmarkEnd w:id="2"/>
      <w:bookmarkEnd w:id="3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</w:p>
    <w:p w:rsidR="00043AB4" w:rsidRPr="003807EF" w:rsidRDefault="00043AB4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）显著增加）</w:t>
      </w:r>
      <w:r w:rsidR="00AD1E53">
        <w:rPr>
          <w:rFonts w:hint="eastAsia"/>
          <w:szCs w:val="24"/>
        </w:rPr>
        <w:t>。</w:t>
      </w:r>
    </w:p>
    <w:p w:rsidR="00DC32AC" w:rsidRDefault="00DC32AC" w:rsidP="00724C22">
      <w:pPr>
        <w:rPr>
          <w:szCs w:val="24"/>
        </w:rPr>
      </w:pPr>
    </w:p>
    <w:p w:rsidR="00A6095A" w:rsidRDefault="00B54E4D" w:rsidP="00724C22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4" w:name="OLE_LINK19"/>
      <w:bookmarkStart w:id="5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4"/>
      <w:bookmarkEnd w:id="5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9A1A13">
        <w:rPr>
          <w:rFonts w:hint="eastAsia"/>
          <w:szCs w:val="24"/>
        </w:rPr>
        <w:t>.</w:t>
      </w:r>
    </w:p>
    <w:p w:rsidR="00E52E60" w:rsidRDefault="00E52E60" w:rsidP="00724C22">
      <w:pPr>
        <w:rPr>
          <w:szCs w:val="24"/>
        </w:rPr>
      </w:pPr>
    </w:p>
    <w:p w:rsidR="00A067EA" w:rsidRDefault="009A235A" w:rsidP="00724C22">
      <w:pPr>
        <w:rPr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r w:rsidR="00500AAA">
        <w:rPr>
          <w:rFonts w:hint="eastAsia"/>
          <w:szCs w:val="24"/>
        </w:rPr>
        <w:t xml:space="preserve">, </w:t>
      </w:r>
      <w:r w:rsidR="00581498">
        <w:rPr>
          <w:rFonts w:hint="eastAsia"/>
          <w:szCs w:val="24"/>
        </w:rPr>
        <w:t xml:space="preserve">we both take multifractality into </w:t>
      </w:r>
      <w:r w:rsidR="00581498">
        <w:rPr>
          <w:szCs w:val="24"/>
        </w:rPr>
        <w:t>consideration</w:t>
      </w:r>
      <w:r w:rsidR="00581498">
        <w:rPr>
          <w:rFonts w:hint="eastAsia"/>
          <w:szCs w:val="24"/>
        </w:rPr>
        <w:t>, so that "</w:t>
      </w:r>
      <w:r w:rsidR="00581498" w:rsidRPr="00581498">
        <w:rPr>
          <w:szCs w:val="24"/>
        </w:rPr>
        <w:t xml:space="preserve"> Multifractal detrended cross-correlation analysis </w:t>
      </w:r>
      <w:r w:rsidR="00581498">
        <w:rPr>
          <w:rFonts w:hint="eastAsia"/>
          <w:szCs w:val="24"/>
        </w:rPr>
        <w:t>" will be DCCA in short and "</w:t>
      </w:r>
      <w:r w:rsidR="00581498" w:rsidRPr="00581498">
        <w:rPr>
          <w:szCs w:val="24"/>
        </w:rPr>
        <w:t xml:space="preserve"> Detrended partial cross-correlation analysis </w:t>
      </w:r>
      <w:r w:rsidR="00581498">
        <w:rPr>
          <w:rFonts w:hint="eastAsia"/>
          <w:szCs w:val="24"/>
        </w:rPr>
        <w:t>" DPXA in short in the latter sections</w:t>
      </w:r>
      <w:r w:rsidR="00F87382">
        <w:rPr>
          <w:rFonts w:hint="eastAsia"/>
          <w:szCs w:val="24"/>
        </w:rPr>
        <w:t>.</w:t>
      </w:r>
    </w:p>
    <w:p w:rsidR="00F87382" w:rsidRDefault="00F87382" w:rsidP="00724C22">
      <w:pPr>
        <w:rPr>
          <w:szCs w:val="24"/>
        </w:rPr>
      </w:pPr>
    </w:p>
    <w:p w:rsidR="00F87382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cross-correlation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  <w:r w:rsidR="006B3E35">
        <w:rPr>
          <w:szCs w:val="24"/>
        </w:rPr>
        <w:t xml:space="preserve"> </w:t>
      </w:r>
      <w:r w:rsidR="0051096C">
        <w:rPr>
          <w:rFonts w:hint="eastAsia"/>
          <w:szCs w:val="24"/>
        </w:rPr>
        <w:t>Since</w:t>
      </w:r>
      <w:r w:rsidR="0051096C">
        <w:rPr>
          <w:szCs w:val="24"/>
        </w:rPr>
        <w:t xml:space="preserve"> DPXA removes the common external force from time series that analyzed, </w:t>
      </w:r>
      <w:r w:rsidR="004D31CE">
        <w:rPr>
          <w:szCs w:val="24"/>
        </w:rPr>
        <w:t xml:space="preserve">it may infer that </w:t>
      </w:r>
      <w:r w:rsidR="00096CBC">
        <w:rPr>
          <w:szCs w:val="24"/>
        </w:rPr>
        <w:t xml:space="preserve">crude oil is the common external force. But a </w:t>
      </w:r>
      <w:r w:rsidR="006F2B49">
        <w:rPr>
          <w:szCs w:val="24"/>
        </w:rPr>
        <w:t>nucleus</w:t>
      </w:r>
      <w:r w:rsidR="006F2B49">
        <w:rPr>
          <w:rFonts w:hint="eastAsia"/>
          <w:szCs w:val="24"/>
        </w:rPr>
        <w:t xml:space="preserve"> </w:t>
      </w:r>
      <w:r w:rsidR="00C204FE">
        <w:rPr>
          <w:szCs w:val="24"/>
        </w:rPr>
        <w:t>common factor might still exist before and after the financial crisis, which still does not have an accurate data set to describe</w:t>
      </w:r>
      <w:r w:rsidR="00A02638">
        <w:rPr>
          <w:szCs w:val="24"/>
        </w:rPr>
        <w:t xml:space="preserve"> or too complicated to be stated</w:t>
      </w:r>
      <w:r w:rsidR="00C204FE">
        <w:rPr>
          <w:szCs w:val="24"/>
        </w:rPr>
        <w:t>.</w:t>
      </w:r>
      <w:r w:rsidR="005950C1">
        <w:rPr>
          <w:szCs w:val="24"/>
        </w:rPr>
        <w:t xml:space="preserve"> </w:t>
      </w:r>
    </w:p>
    <w:p w:rsidR="00A636A9" w:rsidRDefault="00A636A9" w:rsidP="00724C22">
      <w:pPr>
        <w:rPr>
          <w:szCs w:val="24"/>
        </w:rPr>
      </w:pPr>
    </w:p>
    <w:p w:rsidR="00A636A9" w:rsidRPr="00581498" w:rsidRDefault="00BC3F91" w:rsidP="00724C22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In empirical point of view, </w:t>
      </w:r>
      <w:bookmarkStart w:id="6" w:name="_GoBack"/>
      <w:bookmarkEnd w:id="6"/>
    </w:p>
    <w:p w:rsidR="00A067EA" w:rsidRPr="00F86A79" w:rsidRDefault="00A067EA" w:rsidP="00A067EA">
      <w:pPr>
        <w:pStyle w:val="aa"/>
        <w:ind w:left="360" w:firstLineChars="0" w:firstLine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Pr="00F86A79">
        <w:rPr>
          <w:rFonts w:hint="eastAsia"/>
          <w:szCs w:val="24"/>
        </w:rPr>
        <w:t>hurst</w:t>
      </w:r>
      <w:r w:rsidRPr="00F86A79">
        <w:rPr>
          <w:szCs w:val="24"/>
        </w:rPr>
        <w:t xml:space="preserve"> </w:t>
      </w:r>
      <w:r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Pr="00F86A79">
        <w:rPr>
          <w:rFonts w:hint="eastAsia"/>
          <w:szCs w:val="24"/>
        </w:rPr>
        <w:t>DPXA</w:t>
      </w:r>
      <w:r w:rsidRPr="00F86A79">
        <w:rPr>
          <w:rFonts w:hint="eastAsia"/>
          <w:szCs w:val="24"/>
        </w:rPr>
        <w:t>的增幅更大一些。</w:t>
      </w:r>
      <w:r>
        <w:rPr>
          <w:rFonts w:hint="eastAsia"/>
          <w:szCs w:val="24"/>
        </w:rPr>
        <w:t>说明油价是</w:t>
      </w:r>
      <w:r w:rsidRPr="00F86A79">
        <w:rPr>
          <w:rFonts w:hint="eastAsia"/>
          <w:szCs w:val="24"/>
        </w:rPr>
        <w:t>影响因素，但金融危机</w:t>
      </w:r>
      <w:r>
        <w:rPr>
          <w:rFonts w:hint="eastAsia"/>
          <w:szCs w:val="24"/>
        </w:rPr>
        <w:t>前后的核心因素可能综合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复杂无法分析定论</w:t>
      </w:r>
      <w:r w:rsidRPr="00F86A79">
        <w:rPr>
          <w:rFonts w:hint="eastAsia"/>
          <w:szCs w:val="24"/>
        </w:rPr>
        <w:t>。</w:t>
      </w:r>
    </w:p>
    <w:p w:rsidR="00A067EA" w:rsidRPr="00F86A79" w:rsidRDefault="00A067EA" w:rsidP="00A067EA">
      <w:pPr>
        <w:pStyle w:val="aa"/>
        <w:ind w:left="360" w:firstLineChars="0" w:firstLine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A067EA" w:rsidRDefault="00A067EA" w:rsidP="00A067EA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有相同船型，</w:t>
      </w:r>
      <w:r>
        <w:rPr>
          <w:rFonts w:hint="eastAsia"/>
          <w:szCs w:val="24"/>
        </w:rPr>
        <w:t>B-data</w:t>
      </w:r>
      <w:r>
        <w:rPr>
          <w:rFonts w:hint="eastAsia"/>
          <w:szCs w:val="24"/>
        </w:rPr>
        <w:t>航线有相同的起点，</w:t>
      </w:r>
      <w:r>
        <w:rPr>
          <w:rFonts w:hint="eastAsia"/>
          <w:szCs w:val="24"/>
        </w:rPr>
        <w:t>C-data</w:t>
      </w:r>
      <w:r>
        <w:rPr>
          <w:rFonts w:hint="eastAsia"/>
          <w:szCs w:val="24"/>
        </w:rPr>
        <w:t>表面上没很大关系</w:t>
      </w:r>
      <w:r>
        <w:rPr>
          <w:rFonts w:hint="eastAsia"/>
          <w:szCs w:val="24"/>
        </w:rPr>
        <w:t xml:space="preserve"> -&gt;</w:t>
      </w:r>
      <w:r>
        <w:rPr>
          <w:szCs w:val="24"/>
        </w:rPr>
        <w:t xml:space="preserve"> hurst exponent A&gt;B&gt;C. DCCA</w:t>
      </w:r>
      <w:r>
        <w:rPr>
          <w:rFonts w:hint="eastAsia"/>
          <w:szCs w:val="24"/>
        </w:rPr>
        <w:t>得到了一个违背经验的结果。</w:t>
      </w:r>
    </w:p>
    <w:p w:rsidR="00A067EA" w:rsidRPr="00F86A79" w:rsidRDefault="00A067EA" w:rsidP="00A067EA">
      <w:pPr>
        <w:pStyle w:val="aa"/>
        <w:ind w:left="360" w:firstLineChars="0" w:firstLine="0"/>
        <w:rPr>
          <w:szCs w:val="24"/>
        </w:rPr>
      </w:pPr>
      <w:r w:rsidRPr="00F86A79">
        <w:rPr>
          <w:rFonts w:hint="eastAsia"/>
          <w:szCs w:val="24"/>
        </w:rPr>
        <w:t>DCCA,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Pr="00F86A79">
        <w:rPr>
          <w:rFonts w:hint="eastAsia"/>
          <w:szCs w:val="24"/>
        </w:rPr>
        <w:t>B-data</w:t>
      </w:r>
      <w:r w:rsidRPr="00F86A79">
        <w:rPr>
          <w:rFonts w:hint="eastAsia"/>
          <w:szCs w:val="24"/>
        </w:rPr>
        <w:t>和</w:t>
      </w:r>
      <w:r w:rsidRPr="00F86A79">
        <w:rPr>
          <w:rFonts w:hint="eastAsia"/>
          <w:szCs w:val="24"/>
        </w:rPr>
        <w:t>C-data</w:t>
      </w:r>
      <w:r w:rsidRPr="00F86A79">
        <w:rPr>
          <w:rFonts w:hint="eastAsia"/>
          <w:szCs w:val="24"/>
        </w:rPr>
        <w:t>之间</w:t>
      </w:r>
      <w:r w:rsidRPr="00F86A79">
        <w:rPr>
          <w:rFonts w:hint="eastAsia"/>
          <w:szCs w:val="24"/>
        </w:rPr>
        <w:t>hurst</w:t>
      </w:r>
      <w:r w:rsidRPr="00F86A79">
        <w:rPr>
          <w:szCs w:val="24"/>
        </w:rPr>
        <w:t xml:space="preserve"> </w:t>
      </w:r>
      <w:r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的差异变大，可能是金融危机过后失去了一种共因，有待检验。</w:t>
      </w:r>
    </w:p>
    <w:p w:rsidR="00A067EA" w:rsidRDefault="00A067EA" w:rsidP="00A067EA">
      <w:pPr>
        <w:pStyle w:val="aa"/>
        <w:ind w:left="360" w:firstLineChars="0" w:firstLine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在同一时段都是极为相似的，说明</w:t>
      </w:r>
      <w:r w:rsidRPr="00F86A79">
        <w:rPr>
          <w:rFonts w:hint="eastAsia"/>
          <w:szCs w:val="24"/>
        </w:rPr>
        <w:t>DPXA</w:t>
      </w:r>
      <w:r>
        <w:rPr>
          <w:rFonts w:hint="eastAsia"/>
          <w:szCs w:val="24"/>
        </w:rPr>
        <w:t>是在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基础上一个有效的改进。</w:t>
      </w:r>
    </w:p>
    <w:p w:rsidR="00E52E60" w:rsidRPr="00A067EA" w:rsidRDefault="00A067EA" w:rsidP="00457CF8">
      <w:pPr>
        <w:pStyle w:val="aa"/>
        <w:ind w:left="360" w:firstLineChars="0" w:firstLine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的图都是非线性的，证明是多分形的。第二段比第一段</w:t>
      </w:r>
      <w:r>
        <w:rPr>
          <w:rFonts w:hint="eastAsia"/>
          <w:szCs w:val="24"/>
        </w:rPr>
        <w:t>H_q</w:t>
      </w:r>
      <w:r>
        <w:rPr>
          <w:rFonts w:hint="eastAsia"/>
          <w:szCs w:val="24"/>
        </w:rPr>
        <w:t>跨度更大，分形维度增加。原因是</w:t>
      </w:r>
      <w:r w:rsidRPr="00F86A79">
        <w:rPr>
          <w:rFonts w:hint="eastAsia"/>
          <w:szCs w:val="24"/>
        </w:rPr>
        <w:t>金融危机</w:t>
      </w:r>
      <w:r>
        <w:rPr>
          <w:rFonts w:hint="eastAsia"/>
          <w:szCs w:val="24"/>
        </w:rPr>
        <w:t>增强的价格波动。</w:t>
      </w:r>
    </w:p>
    <w:sectPr w:rsidR="00E52E60" w:rsidRPr="00A067EA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FDF" w:rsidRDefault="005A1FDF" w:rsidP="00C45167">
      <w:r>
        <w:separator/>
      </w:r>
    </w:p>
  </w:endnote>
  <w:endnote w:type="continuationSeparator" w:id="0">
    <w:p w:rsidR="005A1FDF" w:rsidRDefault="005A1FDF" w:rsidP="00C4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FDF" w:rsidRDefault="005A1FDF" w:rsidP="00C45167">
      <w:r>
        <w:separator/>
      </w:r>
    </w:p>
  </w:footnote>
  <w:footnote w:type="continuationSeparator" w:id="0">
    <w:p w:rsidR="005A1FDF" w:rsidRDefault="005A1FDF" w:rsidP="00C45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167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306E9"/>
    <w:rsid w:val="00032098"/>
    <w:rsid w:val="00036B94"/>
    <w:rsid w:val="00036BB2"/>
    <w:rsid w:val="000404CA"/>
    <w:rsid w:val="00043AB4"/>
    <w:rsid w:val="00046A84"/>
    <w:rsid w:val="00053060"/>
    <w:rsid w:val="00053258"/>
    <w:rsid w:val="0005335A"/>
    <w:rsid w:val="000551F2"/>
    <w:rsid w:val="0006006A"/>
    <w:rsid w:val="00062AF3"/>
    <w:rsid w:val="00063BCF"/>
    <w:rsid w:val="0006446B"/>
    <w:rsid w:val="00090274"/>
    <w:rsid w:val="00093D0C"/>
    <w:rsid w:val="00094924"/>
    <w:rsid w:val="00095066"/>
    <w:rsid w:val="00096CBC"/>
    <w:rsid w:val="000A0509"/>
    <w:rsid w:val="000A3BCE"/>
    <w:rsid w:val="000A6775"/>
    <w:rsid w:val="000A6931"/>
    <w:rsid w:val="000A7F4E"/>
    <w:rsid w:val="000B0E56"/>
    <w:rsid w:val="000C7AA0"/>
    <w:rsid w:val="000D052E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101E5D"/>
    <w:rsid w:val="001046EA"/>
    <w:rsid w:val="00106C48"/>
    <w:rsid w:val="001079FA"/>
    <w:rsid w:val="00115BBA"/>
    <w:rsid w:val="00120D11"/>
    <w:rsid w:val="00132DAC"/>
    <w:rsid w:val="001333FD"/>
    <w:rsid w:val="0013567E"/>
    <w:rsid w:val="00140422"/>
    <w:rsid w:val="001413AE"/>
    <w:rsid w:val="0014218E"/>
    <w:rsid w:val="001450EF"/>
    <w:rsid w:val="00145C92"/>
    <w:rsid w:val="00146390"/>
    <w:rsid w:val="00152370"/>
    <w:rsid w:val="00155EE0"/>
    <w:rsid w:val="00160796"/>
    <w:rsid w:val="0017375E"/>
    <w:rsid w:val="001738D1"/>
    <w:rsid w:val="001814B6"/>
    <w:rsid w:val="0019308C"/>
    <w:rsid w:val="00194607"/>
    <w:rsid w:val="001A05B3"/>
    <w:rsid w:val="001A3B6F"/>
    <w:rsid w:val="001B2BD4"/>
    <w:rsid w:val="001B6F01"/>
    <w:rsid w:val="001C1BA4"/>
    <w:rsid w:val="001C2B4A"/>
    <w:rsid w:val="001C694A"/>
    <w:rsid w:val="001D136C"/>
    <w:rsid w:val="001D2549"/>
    <w:rsid w:val="001D4538"/>
    <w:rsid w:val="001D51C7"/>
    <w:rsid w:val="001E1095"/>
    <w:rsid w:val="001E2579"/>
    <w:rsid w:val="001F0F94"/>
    <w:rsid w:val="001F1724"/>
    <w:rsid w:val="00207140"/>
    <w:rsid w:val="0021537F"/>
    <w:rsid w:val="00217C30"/>
    <w:rsid w:val="00220A6A"/>
    <w:rsid w:val="00223678"/>
    <w:rsid w:val="0022450B"/>
    <w:rsid w:val="00232B8D"/>
    <w:rsid w:val="00232FB2"/>
    <w:rsid w:val="0023522D"/>
    <w:rsid w:val="00235F9E"/>
    <w:rsid w:val="002425B4"/>
    <w:rsid w:val="00243BD3"/>
    <w:rsid w:val="0024578E"/>
    <w:rsid w:val="0024660B"/>
    <w:rsid w:val="0025027D"/>
    <w:rsid w:val="002514B6"/>
    <w:rsid w:val="0025238E"/>
    <w:rsid w:val="00253C7E"/>
    <w:rsid w:val="002559FD"/>
    <w:rsid w:val="0025640B"/>
    <w:rsid w:val="00262B2E"/>
    <w:rsid w:val="00264484"/>
    <w:rsid w:val="00283F10"/>
    <w:rsid w:val="0028516D"/>
    <w:rsid w:val="002934F7"/>
    <w:rsid w:val="002950FB"/>
    <w:rsid w:val="002A75E1"/>
    <w:rsid w:val="002A7CF2"/>
    <w:rsid w:val="002B17B0"/>
    <w:rsid w:val="002B481B"/>
    <w:rsid w:val="002B6CB5"/>
    <w:rsid w:val="002C5B52"/>
    <w:rsid w:val="002D4513"/>
    <w:rsid w:val="002D6A51"/>
    <w:rsid w:val="002E011D"/>
    <w:rsid w:val="002E0FAB"/>
    <w:rsid w:val="002E5ACA"/>
    <w:rsid w:val="002E7314"/>
    <w:rsid w:val="002F3311"/>
    <w:rsid w:val="002F5D8B"/>
    <w:rsid w:val="00301D88"/>
    <w:rsid w:val="00304FD2"/>
    <w:rsid w:val="00311B3A"/>
    <w:rsid w:val="00312583"/>
    <w:rsid w:val="003143BB"/>
    <w:rsid w:val="00314CA5"/>
    <w:rsid w:val="00315284"/>
    <w:rsid w:val="0032064D"/>
    <w:rsid w:val="00320795"/>
    <w:rsid w:val="00325DCE"/>
    <w:rsid w:val="00332E7E"/>
    <w:rsid w:val="00334A73"/>
    <w:rsid w:val="00343CD3"/>
    <w:rsid w:val="003540F3"/>
    <w:rsid w:val="003563F5"/>
    <w:rsid w:val="00360115"/>
    <w:rsid w:val="00373838"/>
    <w:rsid w:val="0037488E"/>
    <w:rsid w:val="00376512"/>
    <w:rsid w:val="003807EF"/>
    <w:rsid w:val="0038291C"/>
    <w:rsid w:val="00383771"/>
    <w:rsid w:val="00392649"/>
    <w:rsid w:val="003950AA"/>
    <w:rsid w:val="00396FCE"/>
    <w:rsid w:val="003A0E54"/>
    <w:rsid w:val="003A371D"/>
    <w:rsid w:val="003A4C6D"/>
    <w:rsid w:val="003A7258"/>
    <w:rsid w:val="003B2494"/>
    <w:rsid w:val="003B5A75"/>
    <w:rsid w:val="003C1C04"/>
    <w:rsid w:val="003C54DE"/>
    <w:rsid w:val="003C5BE7"/>
    <w:rsid w:val="003D141E"/>
    <w:rsid w:val="003D2881"/>
    <w:rsid w:val="003D7114"/>
    <w:rsid w:val="003D7CF1"/>
    <w:rsid w:val="003E7E2D"/>
    <w:rsid w:val="003F0D6A"/>
    <w:rsid w:val="003F11CA"/>
    <w:rsid w:val="003F4B9C"/>
    <w:rsid w:val="003F61F1"/>
    <w:rsid w:val="00405986"/>
    <w:rsid w:val="00406AE1"/>
    <w:rsid w:val="004149DC"/>
    <w:rsid w:val="004168AD"/>
    <w:rsid w:val="004277C7"/>
    <w:rsid w:val="00431FBD"/>
    <w:rsid w:val="004369C8"/>
    <w:rsid w:val="004412C8"/>
    <w:rsid w:val="00452163"/>
    <w:rsid w:val="004568CC"/>
    <w:rsid w:val="00457CF8"/>
    <w:rsid w:val="004608E0"/>
    <w:rsid w:val="00462B90"/>
    <w:rsid w:val="00473CEC"/>
    <w:rsid w:val="00476328"/>
    <w:rsid w:val="00482699"/>
    <w:rsid w:val="00487843"/>
    <w:rsid w:val="00496F6F"/>
    <w:rsid w:val="004B4E88"/>
    <w:rsid w:val="004C29AC"/>
    <w:rsid w:val="004D31CE"/>
    <w:rsid w:val="004E296C"/>
    <w:rsid w:val="004E62E8"/>
    <w:rsid w:val="004F4C64"/>
    <w:rsid w:val="00500AAA"/>
    <w:rsid w:val="00502187"/>
    <w:rsid w:val="00504090"/>
    <w:rsid w:val="005055F4"/>
    <w:rsid w:val="0051096C"/>
    <w:rsid w:val="00512F53"/>
    <w:rsid w:val="0051463A"/>
    <w:rsid w:val="0052385A"/>
    <w:rsid w:val="0052476F"/>
    <w:rsid w:val="0052529E"/>
    <w:rsid w:val="00526467"/>
    <w:rsid w:val="00530497"/>
    <w:rsid w:val="00531E57"/>
    <w:rsid w:val="00535985"/>
    <w:rsid w:val="00536BD3"/>
    <w:rsid w:val="00554E7B"/>
    <w:rsid w:val="00560B06"/>
    <w:rsid w:val="00565324"/>
    <w:rsid w:val="00567440"/>
    <w:rsid w:val="00571C21"/>
    <w:rsid w:val="0057478E"/>
    <w:rsid w:val="00581498"/>
    <w:rsid w:val="0058499C"/>
    <w:rsid w:val="00592332"/>
    <w:rsid w:val="005950C1"/>
    <w:rsid w:val="00595729"/>
    <w:rsid w:val="0059644D"/>
    <w:rsid w:val="00596CA1"/>
    <w:rsid w:val="005A1FDF"/>
    <w:rsid w:val="005A3EB8"/>
    <w:rsid w:val="005A4E26"/>
    <w:rsid w:val="005A6215"/>
    <w:rsid w:val="005A675D"/>
    <w:rsid w:val="005A7208"/>
    <w:rsid w:val="005B4130"/>
    <w:rsid w:val="005B7ECF"/>
    <w:rsid w:val="005C10DD"/>
    <w:rsid w:val="005D00E6"/>
    <w:rsid w:val="005D2692"/>
    <w:rsid w:val="005D36BD"/>
    <w:rsid w:val="005D4C7B"/>
    <w:rsid w:val="005D52FB"/>
    <w:rsid w:val="005E56AB"/>
    <w:rsid w:val="005E6C8C"/>
    <w:rsid w:val="005E7313"/>
    <w:rsid w:val="005F242B"/>
    <w:rsid w:val="0060665B"/>
    <w:rsid w:val="0061180A"/>
    <w:rsid w:val="00612663"/>
    <w:rsid w:val="00613FBA"/>
    <w:rsid w:val="00617886"/>
    <w:rsid w:val="006301C6"/>
    <w:rsid w:val="00636E6D"/>
    <w:rsid w:val="00646E81"/>
    <w:rsid w:val="0065018D"/>
    <w:rsid w:val="00653509"/>
    <w:rsid w:val="00654692"/>
    <w:rsid w:val="00654F3A"/>
    <w:rsid w:val="006748A3"/>
    <w:rsid w:val="006771EB"/>
    <w:rsid w:val="00677367"/>
    <w:rsid w:val="006825A0"/>
    <w:rsid w:val="0068390B"/>
    <w:rsid w:val="00691B98"/>
    <w:rsid w:val="00693C7B"/>
    <w:rsid w:val="006945BE"/>
    <w:rsid w:val="00694E1A"/>
    <w:rsid w:val="00696914"/>
    <w:rsid w:val="006973A9"/>
    <w:rsid w:val="006A6B96"/>
    <w:rsid w:val="006B2E5E"/>
    <w:rsid w:val="006B38EB"/>
    <w:rsid w:val="006B3E35"/>
    <w:rsid w:val="006F2B49"/>
    <w:rsid w:val="006F4833"/>
    <w:rsid w:val="006F4AB4"/>
    <w:rsid w:val="0070579F"/>
    <w:rsid w:val="00705FE2"/>
    <w:rsid w:val="007126FA"/>
    <w:rsid w:val="00712CCB"/>
    <w:rsid w:val="00717D75"/>
    <w:rsid w:val="00724C22"/>
    <w:rsid w:val="00741891"/>
    <w:rsid w:val="00741C95"/>
    <w:rsid w:val="00743281"/>
    <w:rsid w:val="007449EB"/>
    <w:rsid w:val="0074699E"/>
    <w:rsid w:val="00750288"/>
    <w:rsid w:val="0076354F"/>
    <w:rsid w:val="00765808"/>
    <w:rsid w:val="0077426F"/>
    <w:rsid w:val="00775FBA"/>
    <w:rsid w:val="00782328"/>
    <w:rsid w:val="00787C2B"/>
    <w:rsid w:val="007970D3"/>
    <w:rsid w:val="0079764D"/>
    <w:rsid w:val="007A1600"/>
    <w:rsid w:val="007A776B"/>
    <w:rsid w:val="007B0D28"/>
    <w:rsid w:val="007B54F3"/>
    <w:rsid w:val="007B5AC2"/>
    <w:rsid w:val="007B6C58"/>
    <w:rsid w:val="007B71A0"/>
    <w:rsid w:val="007D244A"/>
    <w:rsid w:val="007E2778"/>
    <w:rsid w:val="007E3686"/>
    <w:rsid w:val="007E54B7"/>
    <w:rsid w:val="007E7140"/>
    <w:rsid w:val="007F0633"/>
    <w:rsid w:val="007F4443"/>
    <w:rsid w:val="007F4DEF"/>
    <w:rsid w:val="00811918"/>
    <w:rsid w:val="008152FE"/>
    <w:rsid w:val="00817D66"/>
    <w:rsid w:val="00820EB1"/>
    <w:rsid w:val="00826049"/>
    <w:rsid w:val="00831BB1"/>
    <w:rsid w:val="008341FA"/>
    <w:rsid w:val="00840806"/>
    <w:rsid w:val="008419D1"/>
    <w:rsid w:val="00845C06"/>
    <w:rsid w:val="00846C6D"/>
    <w:rsid w:val="00850BDD"/>
    <w:rsid w:val="00852B63"/>
    <w:rsid w:val="00855505"/>
    <w:rsid w:val="0085625E"/>
    <w:rsid w:val="00856A17"/>
    <w:rsid w:val="008573D9"/>
    <w:rsid w:val="0086410C"/>
    <w:rsid w:val="00866902"/>
    <w:rsid w:val="0087536C"/>
    <w:rsid w:val="00882614"/>
    <w:rsid w:val="00884A88"/>
    <w:rsid w:val="00886EA7"/>
    <w:rsid w:val="00892A10"/>
    <w:rsid w:val="008953A7"/>
    <w:rsid w:val="00897A50"/>
    <w:rsid w:val="008A121D"/>
    <w:rsid w:val="008B00D9"/>
    <w:rsid w:val="008B0F9A"/>
    <w:rsid w:val="008B52F7"/>
    <w:rsid w:val="008B634E"/>
    <w:rsid w:val="008C05E4"/>
    <w:rsid w:val="008C259B"/>
    <w:rsid w:val="008E120B"/>
    <w:rsid w:val="008E7C08"/>
    <w:rsid w:val="008F0CFC"/>
    <w:rsid w:val="008F331A"/>
    <w:rsid w:val="008F570F"/>
    <w:rsid w:val="008F7FE0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6116"/>
    <w:rsid w:val="00980CC7"/>
    <w:rsid w:val="00982917"/>
    <w:rsid w:val="00997328"/>
    <w:rsid w:val="00997A3D"/>
    <w:rsid w:val="009A1A13"/>
    <w:rsid w:val="009A235A"/>
    <w:rsid w:val="009A5727"/>
    <w:rsid w:val="009A70EC"/>
    <w:rsid w:val="009B1A1D"/>
    <w:rsid w:val="009C5B71"/>
    <w:rsid w:val="009C6365"/>
    <w:rsid w:val="009C691E"/>
    <w:rsid w:val="009D4352"/>
    <w:rsid w:val="009F0CBE"/>
    <w:rsid w:val="009F1B2F"/>
    <w:rsid w:val="00A0099E"/>
    <w:rsid w:val="00A02638"/>
    <w:rsid w:val="00A067EA"/>
    <w:rsid w:val="00A14604"/>
    <w:rsid w:val="00A15CA1"/>
    <w:rsid w:val="00A16009"/>
    <w:rsid w:val="00A168AB"/>
    <w:rsid w:val="00A206FA"/>
    <w:rsid w:val="00A22019"/>
    <w:rsid w:val="00A22D4F"/>
    <w:rsid w:val="00A35286"/>
    <w:rsid w:val="00A37D42"/>
    <w:rsid w:val="00A468F4"/>
    <w:rsid w:val="00A51C92"/>
    <w:rsid w:val="00A51F5E"/>
    <w:rsid w:val="00A56DF4"/>
    <w:rsid w:val="00A5786F"/>
    <w:rsid w:val="00A6095A"/>
    <w:rsid w:val="00A62861"/>
    <w:rsid w:val="00A636A9"/>
    <w:rsid w:val="00A63EC7"/>
    <w:rsid w:val="00A64D4A"/>
    <w:rsid w:val="00A673B5"/>
    <w:rsid w:val="00A7168A"/>
    <w:rsid w:val="00A75E9B"/>
    <w:rsid w:val="00A76724"/>
    <w:rsid w:val="00A86C43"/>
    <w:rsid w:val="00AB1248"/>
    <w:rsid w:val="00AB7372"/>
    <w:rsid w:val="00AC120D"/>
    <w:rsid w:val="00AC31FB"/>
    <w:rsid w:val="00AC4793"/>
    <w:rsid w:val="00AC70E4"/>
    <w:rsid w:val="00AC7C7D"/>
    <w:rsid w:val="00AD1E53"/>
    <w:rsid w:val="00AD7AA1"/>
    <w:rsid w:val="00AE1769"/>
    <w:rsid w:val="00AE2962"/>
    <w:rsid w:val="00AE3013"/>
    <w:rsid w:val="00AE35B8"/>
    <w:rsid w:val="00AE3CD9"/>
    <w:rsid w:val="00AF068E"/>
    <w:rsid w:val="00AF0696"/>
    <w:rsid w:val="00AF127F"/>
    <w:rsid w:val="00AF1E85"/>
    <w:rsid w:val="00AF5F2F"/>
    <w:rsid w:val="00B01E5B"/>
    <w:rsid w:val="00B03435"/>
    <w:rsid w:val="00B1174B"/>
    <w:rsid w:val="00B1189C"/>
    <w:rsid w:val="00B20F5D"/>
    <w:rsid w:val="00B2455B"/>
    <w:rsid w:val="00B26023"/>
    <w:rsid w:val="00B26297"/>
    <w:rsid w:val="00B26476"/>
    <w:rsid w:val="00B26E6D"/>
    <w:rsid w:val="00B309CC"/>
    <w:rsid w:val="00B360E3"/>
    <w:rsid w:val="00B42029"/>
    <w:rsid w:val="00B479CE"/>
    <w:rsid w:val="00B54E4D"/>
    <w:rsid w:val="00B611E5"/>
    <w:rsid w:val="00B665E3"/>
    <w:rsid w:val="00B66E44"/>
    <w:rsid w:val="00B6735D"/>
    <w:rsid w:val="00B7025E"/>
    <w:rsid w:val="00B72C34"/>
    <w:rsid w:val="00B73DF0"/>
    <w:rsid w:val="00B74289"/>
    <w:rsid w:val="00B849C9"/>
    <w:rsid w:val="00B849FD"/>
    <w:rsid w:val="00B85EA4"/>
    <w:rsid w:val="00B862E6"/>
    <w:rsid w:val="00B87EDC"/>
    <w:rsid w:val="00B90B47"/>
    <w:rsid w:val="00BB41A6"/>
    <w:rsid w:val="00BB7873"/>
    <w:rsid w:val="00BC3F91"/>
    <w:rsid w:val="00BC4A34"/>
    <w:rsid w:val="00BC4AA3"/>
    <w:rsid w:val="00BD6780"/>
    <w:rsid w:val="00BD7202"/>
    <w:rsid w:val="00BD7232"/>
    <w:rsid w:val="00BE17DA"/>
    <w:rsid w:val="00BE28A9"/>
    <w:rsid w:val="00BE3A4F"/>
    <w:rsid w:val="00BF5486"/>
    <w:rsid w:val="00C0279A"/>
    <w:rsid w:val="00C046F0"/>
    <w:rsid w:val="00C07698"/>
    <w:rsid w:val="00C12665"/>
    <w:rsid w:val="00C16977"/>
    <w:rsid w:val="00C17B59"/>
    <w:rsid w:val="00C204FE"/>
    <w:rsid w:val="00C22A32"/>
    <w:rsid w:val="00C252D1"/>
    <w:rsid w:val="00C25DC0"/>
    <w:rsid w:val="00C2708D"/>
    <w:rsid w:val="00C328AD"/>
    <w:rsid w:val="00C43237"/>
    <w:rsid w:val="00C45167"/>
    <w:rsid w:val="00C46737"/>
    <w:rsid w:val="00C50F01"/>
    <w:rsid w:val="00C517FD"/>
    <w:rsid w:val="00C57222"/>
    <w:rsid w:val="00C62B08"/>
    <w:rsid w:val="00C67A49"/>
    <w:rsid w:val="00C707E0"/>
    <w:rsid w:val="00C82DE7"/>
    <w:rsid w:val="00C86CF2"/>
    <w:rsid w:val="00CA1361"/>
    <w:rsid w:val="00CA30A3"/>
    <w:rsid w:val="00CA409F"/>
    <w:rsid w:val="00CB790F"/>
    <w:rsid w:val="00CC0352"/>
    <w:rsid w:val="00CC482A"/>
    <w:rsid w:val="00CD0622"/>
    <w:rsid w:val="00CD4A80"/>
    <w:rsid w:val="00CE294E"/>
    <w:rsid w:val="00CE2A47"/>
    <w:rsid w:val="00CF1D5E"/>
    <w:rsid w:val="00CF21C1"/>
    <w:rsid w:val="00CF7CDB"/>
    <w:rsid w:val="00D03BBF"/>
    <w:rsid w:val="00D2290B"/>
    <w:rsid w:val="00D2488B"/>
    <w:rsid w:val="00D2683B"/>
    <w:rsid w:val="00D3317F"/>
    <w:rsid w:val="00D34741"/>
    <w:rsid w:val="00D451F1"/>
    <w:rsid w:val="00D46500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0A52"/>
    <w:rsid w:val="00DC32AC"/>
    <w:rsid w:val="00DC4700"/>
    <w:rsid w:val="00DC4790"/>
    <w:rsid w:val="00DC50DB"/>
    <w:rsid w:val="00DC7F10"/>
    <w:rsid w:val="00DD5DB9"/>
    <w:rsid w:val="00DD76AC"/>
    <w:rsid w:val="00DD79E6"/>
    <w:rsid w:val="00DE6B72"/>
    <w:rsid w:val="00DF1A47"/>
    <w:rsid w:val="00E046EE"/>
    <w:rsid w:val="00E0696D"/>
    <w:rsid w:val="00E12780"/>
    <w:rsid w:val="00E15809"/>
    <w:rsid w:val="00E239E1"/>
    <w:rsid w:val="00E32F88"/>
    <w:rsid w:val="00E3722C"/>
    <w:rsid w:val="00E52E60"/>
    <w:rsid w:val="00E550E6"/>
    <w:rsid w:val="00E60AA9"/>
    <w:rsid w:val="00E615B4"/>
    <w:rsid w:val="00E6217B"/>
    <w:rsid w:val="00E631D6"/>
    <w:rsid w:val="00E70324"/>
    <w:rsid w:val="00E72DF3"/>
    <w:rsid w:val="00E82DB6"/>
    <w:rsid w:val="00E851EB"/>
    <w:rsid w:val="00E852C1"/>
    <w:rsid w:val="00E868E9"/>
    <w:rsid w:val="00EA41AA"/>
    <w:rsid w:val="00EB1130"/>
    <w:rsid w:val="00EB4A76"/>
    <w:rsid w:val="00EB5B52"/>
    <w:rsid w:val="00EB60A1"/>
    <w:rsid w:val="00EC3407"/>
    <w:rsid w:val="00EC7E0B"/>
    <w:rsid w:val="00ED4F64"/>
    <w:rsid w:val="00EE2844"/>
    <w:rsid w:val="00EE7837"/>
    <w:rsid w:val="00EF0EF7"/>
    <w:rsid w:val="00EF78B9"/>
    <w:rsid w:val="00F01117"/>
    <w:rsid w:val="00F1020C"/>
    <w:rsid w:val="00F10BC7"/>
    <w:rsid w:val="00F12AF2"/>
    <w:rsid w:val="00F162CC"/>
    <w:rsid w:val="00F163A1"/>
    <w:rsid w:val="00F23118"/>
    <w:rsid w:val="00F23F85"/>
    <w:rsid w:val="00F27265"/>
    <w:rsid w:val="00F27274"/>
    <w:rsid w:val="00F32E13"/>
    <w:rsid w:val="00F34C22"/>
    <w:rsid w:val="00F34E69"/>
    <w:rsid w:val="00F37C8A"/>
    <w:rsid w:val="00F44E26"/>
    <w:rsid w:val="00F4565B"/>
    <w:rsid w:val="00F50282"/>
    <w:rsid w:val="00F53453"/>
    <w:rsid w:val="00F606CE"/>
    <w:rsid w:val="00F632DE"/>
    <w:rsid w:val="00F67EB6"/>
    <w:rsid w:val="00F801E1"/>
    <w:rsid w:val="00F8272C"/>
    <w:rsid w:val="00F848EA"/>
    <w:rsid w:val="00F84D05"/>
    <w:rsid w:val="00F86A79"/>
    <w:rsid w:val="00F86C1A"/>
    <w:rsid w:val="00F87382"/>
    <w:rsid w:val="00FA1723"/>
    <w:rsid w:val="00FA4BE6"/>
    <w:rsid w:val="00FA58B7"/>
    <w:rsid w:val="00FB6A6B"/>
    <w:rsid w:val="00FC26AF"/>
    <w:rsid w:val="00FC4822"/>
    <w:rsid w:val="00FD0FAA"/>
    <w:rsid w:val="00FD29A6"/>
    <w:rsid w:val="00FE20A5"/>
    <w:rsid w:val="00FF1D52"/>
    <w:rsid w:val="00FF4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59A48"/>
  <w15:docId w15:val="{327660B1-BE0B-4F74-B5E3-2343389A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4516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4516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849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8499C"/>
    <w:rPr>
      <w:sz w:val="18"/>
      <w:szCs w:val="18"/>
    </w:rPr>
  </w:style>
  <w:style w:type="table" w:styleId="a9">
    <w:name w:val="Table Grid"/>
    <w:basedOn w:val="a1"/>
    <w:uiPriority w:val="59"/>
    <w:rsid w:val="001814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CDDF4-A417-48D3-93AA-4A4999784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5</Pages>
  <Words>892</Words>
  <Characters>5087</Characters>
  <Application>Microsoft Office Word</Application>
  <DocSecurity>0</DocSecurity>
  <Lines>42</Lines>
  <Paragraphs>11</Paragraphs>
  <ScaleCrop>false</ScaleCrop>
  <Company>Microsoft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ly xue</cp:lastModifiedBy>
  <cp:revision>668</cp:revision>
  <dcterms:created xsi:type="dcterms:W3CDTF">2017-01-10T03:07:00Z</dcterms:created>
  <dcterms:modified xsi:type="dcterms:W3CDTF">2017-02-04T13:50:00Z</dcterms:modified>
</cp:coreProperties>
</file>