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szCs w:val="24"/>
        </w:rPr>
      </w:pPr>
    </w:p>
    <w:p w:rsidR="00A6095A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4" w:name="OLE_LINK19"/>
      <w:bookmarkStart w:id="5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4"/>
      <w:bookmarkEnd w:id="5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E52E60" w:rsidRDefault="00E52E60" w:rsidP="00724C22">
      <w:pPr>
        <w:rPr>
          <w:szCs w:val="24"/>
        </w:rPr>
      </w:pPr>
    </w:p>
    <w:p w:rsidR="00A067EA" w:rsidRDefault="009A235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r w:rsidR="00500AAA">
        <w:rPr>
          <w:rFonts w:hint="eastAsia"/>
          <w:szCs w:val="24"/>
        </w:rPr>
        <w:t xml:space="preserve">, </w:t>
      </w:r>
      <w:r w:rsidR="00581498">
        <w:rPr>
          <w:rFonts w:hint="eastAsia"/>
          <w:szCs w:val="24"/>
        </w:rPr>
        <w:t xml:space="preserve">we both take multifractality into </w:t>
      </w:r>
      <w:r w:rsidR="00581498">
        <w:rPr>
          <w:szCs w:val="24"/>
        </w:rPr>
        <w:t>consideration</w:t>
      </w:r>
      <w:r w:rsidR="00581498">
        <w:rPr>
          <w:rFonts w:hint="eastAsia"/>
          <w:szCs w:val="24"/>
        </w:rPr>
        <w:t>, so that "</w:t>
      </w:r>
      <w:r w:rsidR="00581498" w:rsidRPr="00581498">
        <w:rPr>
          <w:szCs w:val="24"/>
        </w:rPr>
        <w:t xml:space="preserve"> Multifractal detrended cross-correlation analysis </w:t>
      </w:r>
      <w:r w:rsidR="00581498">
        <w:rPr>
          <w:rFonts w:hint="eastAsia"/>
          <w:szCs w:val="24"/>
        </w:rPr>
        <w:t>" will be DCCA in short and "</w:t>
      </w:r>
      <w:r w:rsidR="00581498" w:rsidRPr="00581498">
        <w:rPr>
          <w:szCs w:val="24"/>
        </w:rPr>
        <w:t xml:space="preserve"> Detrended partial cross-correlation analysis </w:t>
      </w:r>
      <w:r w:rsidR="00581498">
        <w:rPr>
          <w:rFonts w:hint="eastAsia"/>
          <w:szCs w:val="24"/>
        </w:rPr>
        <w:t>" DPXA in short in the latter sections</w:t>
      </w:r>
      <w:r w:rsidR="00F87382">
        <w:rPr>
          <w:rFonts w:hint="eastAsia"/>
          <w:szCs w:val="24"/>
        </w:rPr>
        <w:t>.</w:t>
      </w:r>
    </w:p>
    <w:p w:rsidR="00F87382" w:rsidRDefault="00F87382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cross-correlation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6" w:name="OLE_LINK25"/>
      <w:bookmarkStart w:id="7" w:name="OLE_LINK26"/>
      <w:bookmarkStart w:id="8" w:name="OLE_LINK27"/>
      <w:r w:rsidR="00C204FE">
        <w:rPr>
          <w:szCs w:val="24"/>
        </w:rPr>
        <w:t>financial crisis</w:t>
      </w:r>
      <w:bookmarkEnd w:id="6"/>
      <w:bookmarkEnd w:id="7"/>
      <w:bookmarkEnd w:id="8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9" w:name="_GoBack"/>
      <w:bookmarkEnd w:id="9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10" w:name="OLE_LINK23"/>
      <w:bookmarkStart w:id="11" w:name="OLE_LINK24"/>
      <w:r w:rsidR="006C00AB">
        <w:rPr>
          <w:rFonts w:hint="eastAsia"/>
          <w:szCs w:val="24"/>
        </w:rPr>
        <w:t>prediction</w:t>
      </w:r>
      <w:bookmarkEnd w:id="10"/>
      <w:bookmarkEnd w:id="11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Pr="00B67BAB" w:rsidRDefault="00B67BAB" w:rsidP="00457CF8">
      <w:pPr>
        <w:pStyle w:val="a7"/>
        <w:ind w:left="360" w:firstLineChars="0" w:firstLine="0"/>
        <w:rPr>
          <w:sz w:val="24"/>
          <w:szCs w:val="24"/>
        </w:rPr>
      </w:pPr>
    </w:p>
    <w:sectPr w:rsidR="00B67BAB" w:rsidRPr="00B67BAB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552" w:rsidRDefault="00EE0552" w:rsidP="00C45167">
      <w:r>
        <w:separator/>
      </w:r>
    </w:p>
  </w:endnote>
  <w:endnote w:type="continuationSeparator" w:id="1">
    <w:p w:rsidR="00EE0552" w:rsidRDefault="00EE0552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552" w:rsidRDefault="00EE0552" w:rsidP="00C45167">
      <w:r>
        <w:separator/>
      </w:r>
    </w:p>
  </w:footnote>
  <w:footnote w:type="continuationSeparator" w:id="1">
    <w:p w:rsidR="00EE0552" w:rsidRDefault="00EE0552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570E1"/>
    <w:rsid w:val="0006006A"/>
    <w:rsid w:val="00060DAA"/>
    <w:rsid w:val="00062AF3"/>
    <w:rsid w:val="00063BCF"/>
    <w:rsid w:val="0006446B"/>
    <w:rsid w:val="00084A6A"/>
    <w:rsid w:val="00085643"/>
    <w:rsid w:val="00090274"/>
    <w:rsid w:val="00093D0C"/>
    <w:rsid w:val="00093FDD"/>
    <w:rsid w:val="00094924"/>
    <w:rsid w:val="00095066"/>
    <w:rsid w:val="00096CBC"/>
    <w:rsid w:val="000A0509"/>
    <w:rsid w:val="000A3BCE"/>
    <w:rsid w:val="000A6775"/>
    <w:rsid w:val="000A6931"/>
    <w:rsid w:val="000A7F4E"/>
    <w:rsid w:val="000B0E56"/>
    <w:rsid w:val="000C21FC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6C48"/>
    <w:rsid w:val="001079FA"/>
    <w:rsid w:val="00115BBA"/>
    <w:rsid w:val="00120D11"/>
    <w:rsid w:val="00130686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2C67"/>
    <w:rsid w:val="0019308C"/>
    <w:rsid w:val="00194607"/>
    <w:rsid w:val="001A05B3"/>
    <w:rsid w:val="001A3B6F"/>
    <w:rsid w:val="001B2BD4"/>
    <w:rsid w:val="001B6F01"/>
    <w:rsid w:val="001B78C7"/>
    <w:rsid w:val="001C1BA4"/>
    <w:rsid w:val="001C2B4A"/>
    <w:rsid w:val="001C3C62"/>
    <w:rsid w:val="001C694A"/>
    <w:rsid w:val="001D136C"/>
    <w:rsid w:val="001D2549"/>
    <w:rsid w:val="001D2F76"/>
    <w:rsid w:val="001D4538"/>
    <w:rsid w:val="001D51C7"/>
    <w:rsid w:val="001E1095"/>
    <w:rsid w:val="001E2579"/>
    <w:rsid w:val="001F0F94"/>
    <w:rsid w:val="001F1724"/>
    <w:rsid w:val="001F50CA"/>
    <w:rsid w:val="00207140"/>
    <w:rsid w:val="0021537F"/>
    <w:rsid w:val="00217C30"/>
    <w:rsid w:val="00220A6A"/>
    <w:rsid w:val="00223678"/>
    <w:rsid w:val="0022450B"/>
    <w:rsid w:val="002276D4"/>
    <w:rsid w:val="00232B8D"/>
    <w:rsid w:val="00232FB2"/>
    <w:rsid w:val="0023522D"/>
    <w:rsid w:val="00235F9E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5640B"/>
    <w:rsid w:val="00262B2E"/>
    <w:rsid w:val="00264484"/>
    <w:rsid w:val="00273D4B"/>
    <w:rsid w:val="00283F10"/>
    <w:rsid w:val="0028516D"/>
    <w:rsid w:val="002934F7"/>
    <w:rsid w:val="002950FB"/>
    <w:rsid w:val="002A75E1"/>
    <w:rsid w:val="002A7CF2"/>
    <w:rsid w:val="002B17B0"/>
    <w:rsid w:val="002B481B"/>
    <w:rsid w:val="002B6CB5"/>
    <w:rsid w:val="002C1AC3"/>
    <w:rsid w:val="002C5B52"/>
    <w:rsid w:val="002D4513"/>
    <w:rsid w:val="002D6A51"/>
    <w:rsid w:val="002E011D"/>
    <w:rsid w:val="002E0FAB"/>
    <w:rsid w:val="002E5ACA"/>
    <w:rsid w:val="002E7314"/>
    <w:rsid w:val="002E7912"/>
    <w:rsid w:val="002F0011"/>
    <w:rsid w:val="002F3311"/>
    <w:rsid w:val="002F5D8B"/>
    <w:rsid w:val="002F7226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DCE"/>
    <w:rsid w:val="00332E7E"/>
    <w:rsid w:val="0033478D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2649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C65B2"/>
    <w:rsid w:val="003D141E"/>
    <w:rsid w:val="003D2881"/>
    <w:rsid w:val="003D7114"/>
    <w:rsid w:val="003D7CF1"/>
    <w:rsid w:val="003E0320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25A5"/>
    <w:rsid w:val="00454C6F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E88"/>
    <w:rsid w:val="004C29AC"/>
    <w:rsid w:val="004C755D"/>
    <w:rsid w:val="004D31CE"/>
    <w:rsid w:val="004E296C"/>
    <w:rsid w:val="004E35D6"/>
    <w:rsid w:val="004E62E8"/>
    <w:rsid w:val="004E7F5B"/>
    <w:rsid w:val="004F4C64"/>
    <w:rsid w:val="00500AAA"/>
    <w:rsid w:val="00502187"/>
    <w:rsid w:val="00504090"/>
    <w:rsid w:val="005055F4"/>
    <w:rsid w:val="0051096C"/>
    <w:rsid w:val="00512F53"/>
    <w:rsid w:val="0051463A"/>
    <w:rsid w:val="00517A03"/>
    <w:rsid w:val="0052385A"/>
    <w:rsid w:val="0052476F"/>
    <w:rsid w:val="0052529E"/>
    <w:rsid w:val="00526467"/>
    <w:rsid w:val="00530497"/>
    <w:rsid w:val="00531E57"/>
    <w:rsid w:val="0053432B"/>
    <w:rsid w:val="00535985"/>
    <w:rsid w:val="00535A14"/>
    <w:rsid w:val="00536BD3"/>
    <w:rsid w:val="00554E7B"/>
    <w:rsid w:val="00560B06"/>
    <w:rsid w:val="00565324"/>
    <w:rsid w:val="00567440"/>
    <w:rsid w:val="00571C21"/>
    <w:rsid w:val="0057478E"/>
    <w:rsid w:val="00581498"/>
    <w:rsid w:val="0058499C"/>
    <w:rsid w:val="00592332"/>
    <w:rsid w:val="005950C1"/>
    <w:rsid w:val="00595729"/>
    <w:rsid w:val="0059644D"/>
    <w:rsid w:val="00596CA1"/>
    <w:rsid w:val="005A1FDF"/>
    <w:rsid w:val="005A3EB8"/>
    <w:rsid w:val="005A4E26"/>
    <w:rsid w:val="005A6215"/>
    <w:rsid w:val="005A675D"/>
    <w:rsid w:val="005A7208"/>
    <w:rsid w:val="005A7A3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2268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23DE"/>
    <w:rsid w:val="00653509"/>
    <w:rsid w:val="006538C4"/>
    <w:rsid w:val="00654692"/>
    <w:rsid w:val="00654F3A"/>
    <w:rsid w:val="00667C8B"/>
    <w:rsid w:val="0067035D"/>
    <w:rsid w:val="006748A3"/>
    <w:rsid w:val="006771EB"/>
    <w:rsid w:val="00677367"/>
    <w:rsid w:val="006825A0"/>
    <w:rsid w:val="0068390B"/>
    <w:rsid w:val="00691022"/>
    <w:rsid w:val="00691B98"/>
    <w:rsid w:val="00693C7B"/>
    <w:rsid w:val="006945BE"/>
    <w:rsid w:val="00694E1A"/>
    <w:rsid w:val="00696914"/>
    <w:rsid w:val="006973A9"/>
    <w:rsid w:val="006A6B96"/>
    <w:rsid w:val="006B2E5E"/>
    <w:rsid w:val="006B38EB"/>
    <w:rsid w:val="006B3E35"/>
    <w:rsid w:val="006C00AB"/>
    <w:rsid w:val="006C045C"/>
    <w:rsid w:val="006F2B49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5808"/>
    <w:rsid w:val="0077426F"/>
    <w:rsid w:val="00774C1C"/>
    <w:rsid w:val="00775FBA"/>
    <w:rsid w:val="00782328"/>
    <w:rsid w:val="00787C2B"/>
    <w:rsid w:val="007970D3"/>
    <w:rsid w:val="0079764D"/>
    <w:rsid w:val="007A1600"/>
    <w:rsid w:val="007A4DC4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06BD"/>
    <w:rsid w:val="007F4443"/>
    <w:rsid w:val="007F4DEF"/>
    <w:rsid w:val="00800341"/>
    <w:rsid w:val="00811918"/>
    <w:rsid w:val="00812DE1"/>
    <w:rsid w:val="008152FE"/>
    <w:rsid w:val="00817D66"/>
    <w:rsid w:val="00820EB1"/>
    <w:rsid w:val="008234A2"/>
    <w:rsid w:val="0082457F"/>
    <w:rsid w:val="00826049"/>
    <w:rsid w:val="0082634F"/>
    <w:rsid w:val="00826CBC"/>
    <w:rsid w:val="00826EFD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573D9"/>
    <w:rsid w:val="0086410C"/>
    <w:rsid w:val="00866902"/>
    <w:rsid w:val="008716E8"/>
    <w:rsid w:val="0087536C"/>
    <w:rsid w:val="00882614"/>
    <w:rsid w:val="00884A88"/>
    <w:rsid w:val="00886EA7"/>
    <w:rsid w:val="008913D8"/>
    <w:rsid w:val="00892A10"/>
    <w:rsid w:val="008953A7"/>
    <w:rsid w:val="00897A50"/>
    <w:rsid w:val="008A121D"/>
    <w:rsid w:val="008B00D9"/>
    <w:rsid w:val="008B0F9A"/>
    <w:rsid w:val="008B52F7"/>
    <w:rsid w:val="008B634E"/>
    <w:rsid w:val="008B6815"/>
    <w:rsid w:val="008C05E4"/>
    <w:rsid w:val="008C259B"/>
    <w:rsid w:val="008E120B"/>
    <w:rsid w:val="008E7C08"/>
    <w:rsid w:val="008F0CFC"/>
    <w:rsid w:val="008F331A"/>
    <w:rsid w:val="008F570F"/>
    <w:rsid w:val="008F7FE0"/>
    <w:rsid w:val="009019C7"/>
    <w:rsid w:val="0091143A"/>
    <w:rsid w:val="0091544B"/>
    <w:rsid w:val="00917207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84585"/>
    <w:rsid w:val="0098547E"/>
    <w:rsid w:val="009878C1"/>
    <w:rsid w:val="00997328"/>
    <w:rsid w:val="00997A3D"/>
    <w:rsid w:val="009A0C03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CBE"/>
    <w:rsid w:val="009F1B2F"/>
    <w:rsid w:val="00A0099E"/>
    <w:rsid w:val="00A02638"/>
    <w:rsid w:val="00A067EA"/>
    <w:rsid w:val="00A12CDE"/>
    <w:rsid w:val="00A14604"/>
    <w:rsid w:val="00A15CA1"/>
    <w:rsid w:val="00A16009"/>
    <w:rsid w:val="00A168AB"/>
    <w:rsid w:val="00A206FA"/>
    <w:rsid w:val="00A22019"/>
    <w:rsid w:val="00A22D4F"/>
    <w:rsid w:val="00A261CE"/>
    <w:rsid w:val="00A35286"/>
    <w:rsid w:val="00A37D42"/>
    <w:rsid w:val="00A468F4"/>
    <w:rsid w:val="00A51C92"/>
    <w:rsid w:val="00A51F5E"/>
    <w:rsid w:val="00A56DF4"/>
    <w:rsid w:val="00A5786F"/>
    <w:rsid w:val="00A6095A"/>
    <w:rsid w:val="00A62861"/>
    <w:rsid w:val="00A636A9"/>
    <w:rsid w:val="00A63EC7"/>
    <w:rsid w:val="00A64D4A"/>
    <w:rsid w:val="00A673B5"/>
    <w:rsid w:val="00A7168A"/>
    <w:rsid w:val="00A753EF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1E5B"/>
    <w:rsid w:val="00B0277B"/>
    <w:rsid w:val="00B03435"/>
    <w:rsid w:val="00B1174B"/>
    <w:rsid w:val="00B1189C"/>
    <w:rsid w:val="00B20F5D"/>
    <w:rsid w:val="00B2455B"/>
    <w:rsid w:val="00B25518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849C9"/>
    <w:rsid w:val="00B849FD"/>
    <w:rsid w:val="00B85EA4"/>
    <w:rsid w:val="00B862E6"/>
    <w:rsid w:val="00B87EDC"/>
    <w:rsid w:val="00B90B47"/>
    <w:rsid w:val="00B97447"/>
    <w:rsid w:val="00BB41A6"/>
    <w:rsid w:val="00BB7873"/>
    <w:rsid w:val="00BC3F91"/>
    <w:rsid w:val="00BC4A34"/>
    <w:rsid w:val="00BC4AA3"/>
    <w:rsid w:val="00BC657E"/>
    <w:rsid w:val="00BD6780"/>
    <w:rsid w:val="00BD6FE2"/>
    <w:rsid w:val="00BD7202"/>
    <w:rsid w:val="00BD7232"/>
    <w:rsid w:val="00BE17DA"/>
    <w:rsid w:val="00BE28A9"/>
    <w:rsid w:val="00BE3A4F"/>
    <w:rsid w:val="00BF5486"/>
    <w:rsid w:val="00C0279A"/>
    <w:rsid w:val="00C036BF"/>
    <w:rsid w:val="00C046F0"/>
    <w:rsid w:val="00C07698"/>
    <w:rsid w:val="00C12665"/>
    <w:rsid w:val="00C16977"/>
    <w:rsid w:val="00C17B59"/>
    <w:rsid w:val="00C204FE"/>
    <w:rsid w:val="00C22A32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7A49"/>
    <w:rsid w:val="00C707E0"/>
    <w:rsid w:val="00C82DE7"/>
    <w:rsid w:val="00C86CF2"/>
    <w:rsid w:val="00C941F9"/>
    <w:rsid w:val="00CA1361"/>
    <w:rsid w:val="00CA30A3"/>
    <w:rsid w:val="00CA409F"/>
    <w:rsid w:val="00CB790F"/>
    <w:rsid w:val="00CC0352"/>
    <w:rsid w:val="00CC137F"/>
    <w:rsid w:val="00CC482A"/>
    <w:rsid w:val="00CD0622"/>
    <w:rsid w:val="00CD4A80"/>
    <w:rsid w:val="00CE294E"/>
    <w:rsid w:val="00CE2A47"/>
    <w:rsid w:val="00CE3B55"/>
    <w:rsid w:val="00CE5C31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3E93"/>
    <w:rsid w:val="00D451F1"/>
    <w:rsid w:val="00D46500"/>
    <w:rsid w:val="00D47DE8"/>
    <w:rsid w:val="00D55D32"/>
    <w:rsid w:val="00D5713C"/>
    <w:rsid w:val="00D576ED"/>
    <w:rsid w:val="00D60C58"/>
    <w:rsid w:val="00D617A0"/>
    <w:rsid w:val="00D61ECD"/>
    <w:rsid w:val="00D73898"/>
    <w:rsid w:val="00D74006"/>
    <w:rsid w:val="00D756C1"/>
    <w:rsid w:val="00D81952"/>
    <w:rsid w:val="00D85D33"/>
    <w:rsid w:val="00D86A8C"/>
    <w:rsid w:val="00D86E57"/>
    <w:rsid w:val="00D94E28"/>
    <w:rsid w:val="00D97C46"/>
    <w:rsid w:val="00DA038B"/>
    <w:rsid w:val="00DA55C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5B39"/>
    <w:rsid w:val="00E0696D"/>
    <w:rsid w:val="00E12780"/>
    <w:rsid w:val="00E15809"/>
    <w:rsid w:val="00E239E1"/>
    <w:rsid w:val="00E32F88"/>
    <w:rsid w:val="00E3722C"/>
    <w:rsid w:val="00E42116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3A15"/>
    <w:rsid w:val="00E851EB"/>
    <w:rsid w:val="00E852C1"/>
    <w:rsid w:val="00E868E9"/>
    <w:rsid w:val="00EA41AA"/>
    <w:rsid w:val="00EB1130"/>
    <w:rsid w:val="00EB4A76"/>
    <w:rsid w:val="00EB5B52"/>
    <w:rsid w:val="00EB60A1"/>
    <w:rsid w:val="00EB71BA"/>
    <w:rsid w:val="00EC2F3C"/>
    <w:rsid w:val="00EC3407"/>
    <w:rsid w:val="00EC7E0B"/>
    <w:rsid w:val="00ED4F64"/>
    <w:rsid w:val="00EE0552"/>
    <w:rsid w:val="00EE2844"/>
    <w:rsid w:val="00EE525D"/>
    <w:rsid w:val="00EE7837"/>
    <w:rsid w:val="00EF0EF7"/>
    <w:rsid w:val="00EF26E4"/>
    <w:rsid w:val="00EF78B9"/>
    <w:rsid w:val="00F01117"/>
    <w:rsid w:val="00F039CF"/>
    <w:rsid w:val="00F06079"/>
    <w:rsid w:val="00F1020C"/>
    <w:rsid w:val="00F10BC7"/>
    <w:rsid w:val="00F12AF2"/>
    <w:rsid w:val="00F13F56"/>
    <w:rsid w:val="00F162CC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54542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1723"/>
    <w:rsid w:val="00FA465D"/>
    <w:rsid w:val="00FA4BE6"/>
    <w:rsid w:val="00FA58B7"/>
    <w:rsid w:val="00FB6A6B"/>
    <w:rsid w:val="00FC26AF"/>
    <w:rsid w:val="00FC4822"/>
    <w:rsid w:val="00FD0FAA"/>
    <w:rsid w:val="00FD25CC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5</Pages>
  <Words>973</Words>
  <Characters>5550</Characters>
  <Application>Microsoft Office Word</Application>
  <DocSecurity>0</DocSecurity>
  <Lines>46</Lines>
  <Paragraphs>13</Paragraphs>
  <ScaleCrop>false</ScaleCrop>
  <Company>Microsoft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803</cp:revision>
  <dcterms:created xsi:type="dcterms:W3CDTF">2017-01-10T03:07:00Z</dcterms:created>
  <dcterms:modified xsi:type="dcterms:W3CDTF">2017-02-06T02:04:00Z</dcterms:modified>
</cp:coreProperties>
</file>