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3EEC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Контакты для передачи данных:</w:t>
      </w:r>
    </w:p>
    <w:p w14:paraId="4E2AD40D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</w:p>
    <w:p w14:paraId="5C15DB46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MDI0-MDI7: 8 контактов для передачи MPEG-2 данных от хоста к модулю</w:t>
      </w:r>
    </w:p>
    <w:p w14:paraId="4D8A037E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MDO0-MDO7: 8 контактов для передачи MPEG-2 данных от модуля к хосту</w:t>
      </w:r>
    </w:p>
    <w:p w14:paraId="42B4C44D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Контакты управления:</w:t>
      </w:r>
    </w:p>
    <w:p w14:paraId="2BDB9B69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</w:p>
    <w:p w14:paraId="22E5D207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MISTRT, MIVAL: контакты управления для входных данных</w:t>
      </w:r>
    </w:p>
    <w:p w14:paraId="65B729F0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MOSTRT, MOVAL: контакты управления для выходных данных</w:t>
      </w:r>
    </w:p>
    <w:p w14:paraId="3ED0BC65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MCLK: контакт для синхронизации передачи данных</w:t>
      </w:r>
    </w:p>
    <w:p w14:paraId="68D85138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Другие контакты:</w:t>
      </w:r>
    </w:p>
    <w:p w14:paraId="4DB0CC13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</w:p>
    <w:p w14:paraId="1291E2FA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CE1#: контакт для включения модуля</w:t>
      </w:r>
    </w:p>
    <w:p w14:paraId="01BD3DC8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CE2#: контакт для второго включения модуля</w:t>
      </w:r>
    </w:p>
    <w:p w14:paraId="53F7D488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RESET: контакт для сброса модуля</w:t>
      </w:r>
    </w:p>
    <w:p w14:paraId="65A14C0F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WAIT#: контакт для увеличения времени цикла шины</w:t>
      </w:r>
    </w:p>
    <w:p w14:paraId="77EFC672" w14:textId="77777777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512E46">
        <w:rPr>
          <w:rFonts w:asciiTheme="majorHAnsi" w:hAnsiTheme="majorHAnsi" w:cstheme="majorHAnsi"/>
          <w:sz w:val="20"/>
          <w:szCs w:val="20"/>
        </w:rPr>
        <w:t>INPACK#: контакт для подтверждения операции ввода-вывода</w:t>
      </w:r>
    </w:p>
    <w:p w14:paraId="0C81F217" w14:textId="449CEBF0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hAnsiTheme="majorHAnsi" w:cstheme="majorHAnsi"/>
          <w:sz w:val="20"/>
          <w:szCs w:val="20"/>
        </w:rPr>
        <w:t>CD1#, CD2#: контакты для обнаружения карты</w:t>
      </w:r>
    </w:p>
    <w:p w14:paraId="0F2834F3" w14:textId="77777777" w:rsid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720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</w:p>
    <w:p w14:paraId="546DB405" w14:textId="5B7E163E" w:rsidR="00512E46" w:rsidRPr="00512E46" w:rsidRDefault="00512E46" w:rsidP="00512E46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MPEG-2 Transport Stream Interface:</w:t>
      </w:r>
    </w:p>
    <w:p w14:paraId="0FA00441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MDI0-MDI7: 8-битная параллельная шина для передачи данных от хоста к модулю</w:t>
      </w:r>
    </w:p>
    <w:p w14:paraId="08CFDC53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MDO0-MDO7: 8-битная параллельная шина для передачи данных от модуля к хосту</w:t>
      </w:r>
    </w:p>
    <w:p w14:paraId="29442429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MISTRT, MIVAL: управляющие сигналы для входных данных</w:t>
      </w:r>
    </w:p>
    <w:p w14:paraId="362C01BA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MOSTRT, MOVAL: управляющие сигналы для выходных данных</w:t>
      </w:r>
    </w:p>
    <w:p w14:paraId="514B0553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MCLK: сигнал тактовой частоты для синхронизации передачи данных</w:t>
      </w:r>
    </w:p>
    <w:p w14:paraId="4618294D" w14:textId="77777777" w:rsidR="00512E46" w:rsidRPr="00512E46" w:rsidRDefault="00512E46" w:rsidP="00512E46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Command Interface:</w:t>
      </w:r>
    </w:p>
    <w:p w14:paraId="27F55B3F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 xml:space="preserve">Data </w:t>
      </w:r>
      <w:proofErr w:type="spellStart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Register</w:t>
      </w:r>
      <w:proofErr w:type="spellEnd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: регистр данных для передачи данных между модулем и хостом</w:t>
      </w:r>
    </w:p>
    <w:p w14:paraId="0ABA456C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 xml:space="preserve">Control </w:t>
      </w:r>
      <w:proofErr w:type="spellStart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Register</w:t>
      </w:r>
      <w:proofErr w:type="spellEnd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: регистр управления для управления операциями интерфейса</w:t>
      </w:r>
    </w:p>
    <w:p w14:paraId="2706094B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proofErr w:type="spellStart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Status</w:t>
      </w:r>
      <w:proofErr w:type="spellEnd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 xml:space="preserve"> </w:t>
      </w:r>
      <w:proofErr w:type="spellStart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Register</w:t>
      </w:r>
      <w:proofErr w:type="spellEnd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: регистр статуса для отслеживания состояния интерфейса</w:t>
      </w:r>
    </w:p>
    <w:p w14:paraId="2D9F398B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proofErr w:type="spellStart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Size</w:t>
      </w:r>
      <w:proofErr w:type="spellEnd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 xml:space="preserve"> </w:t>
      </w:r>
      <w:proofErr w:type="spellStart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Register</w:t>
      </w:r>
      <w:proofErr w:type="spellEnd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: регистр размера для указания размера передаваемых данных</w:t>
      </w:r>
    </w:p>
    <w:p w14:paraId="506F6548" w14:textId="77777777" w:rsidR="00512E46" w:rsidRPr="00512E46" w:rsidRDefault="00512E46" w:rsidP="00512E46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Другие сигналы:</w:t>
      </w:r>
    </w:p>
    <w:p w14:paraId="5C8D688D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HC: сигнал для управления хост-модульными передачами данных</w:t>
      </w:r>
    </w:p>
    <w:p w14:paraId="37F0CA8E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FR: сигнал для указания занятости интерфейса</w:t>
      </w:r>
    </w:p>
    <w:p w14:paraId="2B97818E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WE: сигнал для указания окончания передачи данных</w:t>
      </w:r>
    </w:p>
    <w:p w14:paraId="6E51E180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 xml:space="preserve">DA: сигнал для </w:t>
      </w:r>
      <w:proofErr w:type="spellStart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избежания</w:t>
      </w:r>
      <w:proofErr w:type="spellEnd"/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 xml:space="preserve"> блокировки в случае однобуферной реализации в модуле</w:t>
      </w:r>
    </w:p>
    <w:p w14:paraId="5644DF30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</w:pPr>
      <w:r w:rsidRPr="00512E46">
        <w:rPr>
          <w:rFonts w:asciiTheme="majorHAnsi" w:eastAsia="Times New Roman" w:hAnsiTheme="majorHAnsi" w:cstheme="majorHAnsi"/>
          <w:color w:val="666666"/>
          <w:sz w:val="20"/>
          <w:szCs w:val="20"/>
          <w:lang w:eastAsia="ru-RU"/>
        </w:rPr>
        <w:t>INPACK#: сигнал для указания ответа модуля на операцию ввода-вывода</w:t>
      </w:r>
    </w:p>
    <w:p w14:paraId="65AEA59B" w14:textId="3C5FFD0E" w:rsid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0"/>
        <w:ind w:left="360"/>
        <w:jc w:val="center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ЧТО МЫ НЕ ПОДКЛЮЧАЕМ СОГЛАСНО СТАНДАРАТ</w:t>
      </w:r>
    </w:p>
    <w:p w14:paraId="0A9906A2" w14:textId="766A438E" w:rsidR="00512E46" w:rsidRPr="00512E46" w:rsidRDefault="00512E46" w:rsidP="00512E46">
      <w:p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0"/>
        <w:ind w:left="360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Контакты для работы с памятью:</w:t>
      </w:r>
    </w:p>
    <w:p w14:paraId="2BA0270E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D8-D15: 8 контактов для передачи данных в 16-битном режиме (не используются модулем)</w:t>
      </w:r>
    </w:p>
    <w:p w14:paraId="3A071263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A15-A25: 11 контактов для адресации памяти (не используются модулем)</w:t>
      </w:r>
    </w:p>
    <w:p w14:paraId="3C5932B0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BVD1, BVD2: контакты для обнаружения напряжения батареи (не используются модулем)</w:t>
      </w:r>
    </w:p>
    <w:p w14:paraId="44FA51CB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VS2#: контакт для обнаружения напряжения (не используется модулем)</w:t>
      </w:r>
    </w:p>
    <w:p w14:paraId="5220BA01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IOIS16#: контакт для работы в 16-битном режиме (всегда в состоянии "высокий")</w:t>
      </w:r>
    </w:p>
    <w:p w14:paraId="4C8C895C" w14:textId="77777777" w:rsidR="00512E46" w:rsidRPr="00512E46" w:rsidRDefault="00512E46" w:rsidP="00512E46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0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Другие контакты:</w:t>
      </w:r>
    </w:p>
    <w:p w14:paraId="467E75D3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VPP1, VPP2: контакты для программирования напряжения (не используются модулем)</w:t>
      </w:r>
    </w:p>
    <w:p w14:paraId="7C7AEC9A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IREQ#: контакт для запроса прерывания (не используется модулем)</w:t>
      </w:r>
    </w:p>
    <w:p w14:paraId="12D3BEB1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t>VCC: контакт для питания модуля (не имеет альтернативных значений)</w:t>
      </w:r>
    </w:p>
    <w:p w14:paraId="604751C2" w14:textId="77777777" w:rsidR="00512E46" w:rsidRPr="00512E46" w:rsidRDefault="00512E46" w:rsidP="00512E46">
      <w:pPr>
        <w:numPr>
          <w:ilvl w:val="1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/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</w:pPr>
      <w:r w:rsidRPr="00512E46">
        <w:rPr>
          <w:rFonts w:ascii="Noto Sans" w:eastAsia="Times New Roman" w:hAnsi="Noto Sans" w:cs="Noto Sans"/>
          <w:color w:val="666666"/>
          <w:sz w:val="21"/>
          <w:szCs w:val="21"/>
          <w:lang w:eastAsia="ru-RU"/>
        </w:rPr>
        <w:lastRenderedPageBreak/>
        <w:t>GND: контакты для заземления (всегда подключены)</w:t>
      </w:r>
    </w:p>
    <w:p w14:paraId="77165C72" w14:textId="77777777" w:rsidR="00F12C76" w:rsidRPr="00512E46" w:rsidRDefault="00F12C76" w:rsidP="00512E46">
      <w:pPr>
        <w:spacing w:after="0"/>
        <w:ind w:firstLine="709"/>
        <w:jc w:val="both"/>
        <w:rPr>
          <w:rFonts w:asciiTheme="majorHAnsi" w:hAnsiTheme="majorHAnsi" w:cstheme="majorHAnsi"/>
          <w:sz w:val="20"/>
          <w:szCs w:val="20"/>
        </w:rPr>
      </w:pPr>
    </w:p>
    <w:sectPr w:rsidR="00F12C76" w:rsidRPr="00512E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71E7"/>
    <w:multiLevelType w:val="multilevel"/>
    <w:tmpl w:val="DB6C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243DB"/>
    <w:multiLevelType w:val="multilevel"/>
    <w:tmpl w:val="F40A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48"/>
    <w:rsid w:val="00141D47"/>
    <w:rsid w:val="00512E46"/>
    <w:rsid w:val="006C0B77"/>
    <w:rsid w:val="008242FF"/>
    <w:rsid w:val="00870751"/>
    <w:rsid w:val="00922C48"/>
    <w:rsid w:val="00B915B7"/>
    <w:rsid w:val="00E5114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BF48"/>
  <w15:chartTrackingRefBased/>
  <w15:docId w15:val="{277246A7-D571-40B4-AB3C-E1E09941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2E4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Миронов</dc:creator>
  <cp:keywords/>
  <dc:description/>
  <cp:lastModifiedBy>Вячеслав Миронов</cp:lastModifiedBy>
  <cp:revision>2</cp:revision>
  <dcterms:created xsi:type="dcterms:W3CDTF">2024-04-16T06:22:00Z</dcterms:created>
  <dcterms:modified xsi:type="dcterms:W3CDTF">2024-04-16T09:50:00Z</dcterms:modified>
</cp:coreProperties>
</file>