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 xml:space="preserve">1 Введение</w:t>
      </w:r>
    </w:p>
    <w:p>
      <w:pPr>
        <w:pStyle w:val="EskdText"/>
      </w:pPr>
      <w:r>
        <w:t xml:space="preserve">1.1 Настоящая пояснительная записка относится к модулю приёмника ГНСС многосистемного многочастотного МГП-8 (ШИВА.468157.001, далее — МГП-8). Записка обосновывает технические решения и содержит расчёты, результаты моделирования и проверки конфигурации ПЛИС и программного обеспечения. В конце дана оценка соответствия техническому заданию ШИВА.468157.001 ТЗ.</w:t>
      </w:r>
    </w:p>
    <w:p>
      <w:pPr>
        <w:pStyle w:val="EskdText"/>
      </w:pPr>
      <w:r>
        <w:t xml:space="preserve">1.2 Стадия разработки — эскизный проект с элементами технического (литера «Э»). Разработаны: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схема электрическая структурная (Э1) и принципиальная (Э3);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перечень элементов (ПЭ3), спецификация, ведомость покупных изделий (ВП);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RTL-описание ПЛИС с битово-точными моделями и тестами;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встроенное ПО микроконтроллера с тестами на ПК;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эталонный программный приёмник;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расчётные модели.</w:t>
      </w:r>
    </w:p>
    <w:p>
      <w:pPr>
        <w:pStyle w:val="EskdText"/>
      </w:pPr>
      <w:r>
        <w:t xml:space="preserve">Разводка печатной платы и изготовление опытного образца относятся к следующему этапу (раздел 9).</w:t>
      </w:r>
    </w:p>
    <w:p>
      <w:pPr>
        <w:pStyle w:val="EskdText"/>
      </w:pPr>
      <w:r>
        <w:t xml:space="preserve">1.3 Исходные тексты, модели и сценарии проверок — каталог </w:t>
      </w:r>
      <w:r>
        <w:rPr>
          <w:rFonts w:ascii="Courier New" w:hAnsi="Courier New" w:cs="Courier New" w:eastAsia="Courier New"/>
        </w:rPr>
        <w:t xml:space="preserve">gnss_receiver</w:t>
      </w:r>
      <w:r>
        <w:t xml:space="preserve"> репозитория проекта. Пути к файлам далее указаны относительно него.</w:t>
      </w:r>
    </w:p>
    <w:p>
      <w:pPr>
        <w:pStyle w:val="Heading1"/>
      </w:pPr>
      <w:r>
        <w:t xml:space="preserve">2 Назначение и область применения</w:t>
      </w:r>
    </w:p>
    <w:p>
      <w:pPr>
        <w:pStyle w:val="EskdText"/>
      </w:pPr>
      <w:r>
        <w:t xml:space="preserve">2.1 МГП-8 принимает и обрабатывает сигналы ГЛОНАСС, GPS, Galileo, BeiDou, QZSS, NavIC и SBAS во всех частотных диапазонах (L1, L2, L3/L5, E6/B3). Модуль определяет координаты, скорость и время, формирует метку времени 1PPS и выдаёт сырые измерения и отсчёты ПЧ.</w:t>
      </w:r>
    </w:p>
    <w:p>
      <w:pPr>
        <w:pStyle w:val="EskdText"/>
      </w:pPr>
      <w:r>
        <w:t xml:space="preserve">2.2 Области применения (ТЗ, п. 1.3):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бортовая навигационно-временная аппаратура БАС, в том числе роевых;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аппаратура частотно-временного обеспечения;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исследовательский комплекс для записи сигналов и отработки алгоритмов.</w:t>
      </w:r>
    </w:p>
    <w:p>
      <w:pPr>
        <w:pStyle w:val="EskdText"/>
      </w:pPr>
      <w:r>
        <w:t xml:space="preserve">2.3 Отличительная особенность — открытость всех уровней: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схема в виде исходного текста (</w:t>
      </w:r>
      <w:r>
        <w:rPr>
          <w:rFonts w:ascii="Courier New" w:hAnsi="Courier New" w:cs="Courier New" w:eastAsia="Courier New"/>
        </w:rPr>
        <w:t xml:space="preserve">hw/gen</w:t>
      </w:r>
      <w:r>
        <w:t xml:space="preserve">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конфигурация ПЛИС собирается открытыми средствами (Yosys, nextpnr-ecp5, Project Trellis);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 МК и эталонный приёмник поставляются в исходных текстах.</w:t>
      </w:r>
    </w:p>
    <w:p>
      <w:pPr>
        <w:pStyle w:val="EskdText"/>
      </w:pPr>
      <w:r>
        <w:t xml:space="preserve">Формат «сырых» отсчётов совместим с Pocket SDR FE 8CH, поэтому записи МГП-8 обрабатываются ПО Pocket SDR, GNSS-SDR и RTKLIB без доработок.</w:t>
      </w:r>
    </w:p>
    <w:p>
      <w:pPr>
        <w:pStyle w:val="Heading1"/>
      </w:pPr>
      <w:r>
        <w:t xml:space="preserve">3 Техническая характеристика</w:t>
      </w:r>
    </w:p>
    <w:p>
      <w:pPr>
        <w:pStyle w:val="EskdText"/>
        <w:keepNext/>
        <w:spacing w:before="80" w:after="40" w:line="282" w:lineRule="auto"/>
        <w:ind w:left="0" w:right="0" w:firstLine="0"/>
        <w:jc w:val="left"/>
      </w:pPr>
      <w:r>
        <w:t xml:space="preserve">Таблица 1 — Основные характеристики МГП-8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3720"/>
        <w:gridCol w:w="6201"/>
      </w:tblGrid>
      <w:tr>
        <w:trPr>
          <w:cantSplit/>
          <w:tblHeader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Характеристика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Принимаемые сигналы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ТЗ, таблица 1 (8 ВЧ-каналов, конфигурация программная)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Число каналов коррелятора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80 (5 движков × 16 каналов), по 3 отвода (E, P, L)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Частота дискретизации, разрядность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 МГц, 2 бита I + 2 бита Q на канал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Чувствительность захвата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 дБГц (−142 дБм) в режиме длительного накопления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Подавление гармонических помех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J/S до 50 дБ без потери слежения (C/N0 ≥ 34 дБГц при 45 дБГц)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Погрешность 1PPS (1σ, расчёт)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4,3 нс без коррекции, 3,1 нс с поправкой qErr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Выходные протоколы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NMEA-0183 4.11, RTCM 3.3 MSM7 и 1005, отсчёты ПЧ по USB 3.0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Питание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 В (4,5…5,5 В) от USB, порта ГНСС или CAN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Потребляемая мощность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2,75 Вт (навигация), 3,29 Вт (с выдачей отсчётов по USB 3.0)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Средняя наработка на отказ (расчёт)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383 000 ч (нормальные условия), 153 000 ч на борту БАС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Heading1"/>
      </w:pPr>
      <w:r>
        <w:t xml:space="preserve">4 Описание и обоснование выбранной конструкции</w:t>
      </w:r>
    </w:p>
    <w:p>
      <w:pPr>
        <w:pStyle w:val="Heading2"/>
      </w:pPr>
      <w:r>
        <w:t xml:space="preserve">4.1 Структура</w:t>
      </w:r>
    </w:p>
    <w:p>
      <w:pPr>
        <w:pStyle w:val="EskdText"/>
      </w:pPr>
      <w:r>
        <w:t xml:space="preserve">4.1.1 Структурная схема — документ Э1. Сигнал активной антенны проходит через тройник питания и защиту, затем через трёхступенчатый делитель 1:8. Он поступает на восемь приёмников MAX2771. Каждый приёмник переносит свой диапазон на комплексную ПЧ и выдаёт 2-битные отсчёты I/Q с частотой 24 МГц.</w:t>
      </w:r>
    </w:p>
    <w:p>
      <w:pPr>
        <w:pStyle w:val="EskdText"/>
      </w:pPr>
      <w:r>
        <w:t xml:space="preserve">4.1.2 ПЛИС LFE5U-45F принимает отсчёты всех восьми каналов. Она выполняет: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режекторную фильтрацию;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корреляционную обработку (80 каналов);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запись снимков для захвата;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ведение шкалы времени и формирование 1PPS;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выдачу отсчётов в контроллер USB 3.0 CYUSB3014 (FX3).</w:t>
      </w:r>
    </w:p>
    <w:p>
      <w:pPr>
        <w:pStyle w:val="EskdText"/>
      </w:pPr>
      <w:r>
        <w:t xml:space="preserve">4.1.3 Микроконтроллер STM32H743 связан с ПЛИС 16-разрядной мультиплексированной шиной FMC. Он выполняет: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петли слежения;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декодирование навигационных сообщений;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решение;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выдачу протоколов NMEA, RTCM и собственного.</w:t>
      </w:r>
    </w:p>
    <w:p>
      <w:pPr>
        <w:pStyle w:val="EskdText"/>
      </w:pPr>
      <w:r>
        <w:t xml:space="preserve">4.1.4 Выбор архитектуры обоснован в документе «Обзор открытых разработок». ВЧ-часть повторяет проверенную схему Pocket SDR FE 8CH (лицензия BSD-2), что даёт совместимость по формату данных и снижает риск. Коррелятор и ПО разработаны заново. Открытые проекты Pocket SDR и GNSS-SDR — программные приёмники с обработкой на ПК, а известные открытые аппаратные корреляторы рассчитаны на меньшее число каналов и сигналов.</w:t>
      </w:r>
    </w:p>
    <w:p>
      <w:pPr>
        <w:pStyle w:val="Heading2"/>
      </w:pPr>
      <w:r>
        <w:t xml:space="preserve">4.2 ВЧ-тракт и частотный план</w:t>
      </w:r>
    </w:p>
    <w:p>
      <w:pPr>
        <w:pStyle w:val="EskdText"/>
      </w:pPr>
      <w:r>
        <w:t xml:space="preserve">4.2.1 Частоты гетеродинов и полосы ПЧ — ТЗ, таблица 1. Распределение сигналов по ВЧ-каналам и их положение на ПЧ рассчитаны в </w:t>
      </w:r>
      <w:r>
        <w:rPr>
          <w:rFonts w:ascii="Courier New" w:hAnsi="Courier New" w:cs="Courier New" w:eastAsia="Courier New"/>
        </w:rPr>
        <w:t xml:space="preserve">sim/freq_plan.py</w:t>
      </w:r>
      <w:r>
        <w:t xml:space="preserve">; результаты — </w:t>
      </w:r>
      <w:r>
        <w:rPr>
          <w:rFonts w:ascii="Courier New" w:hAnsi="Courier New" w:cs="Courier New" w:eastAsia="Courier New"/>
        </w:rPr>
        <w:t xml:space="preserve">sim/out/freq_plan.md</w:t>
      </w:r>
      <w:r>
        <w:t xml:space="preserve">. Все сигналы укладываются в полосы ПЧ с запасом не менее 0,3 МГц до края. Сигналы ГЛОНАСС FDMA (литеры −7…+6) занимают полосу ±4,5 МГц канала 2 (L1) и ±3,6 МГц канала 4 (L2).</w:t>
      </w:r>
    </w:p>
    <w:p>
      <w:pPr>
        <w:pStyle w:val="EskdText"/>
      </w:pPr>
      <w:r>
        <w:t xml:space="preserve">4.2.2 Гармоники тактовых частот в полосах приёма (</w:t>
      </w:r>
      <w:r>
        <w:rPr>
          <w:rFonts w:ascii="Courier New" w:hAnsi="Courier New" w:cs="Courier New" w:eastAsia="Courier New"/>
        </w:rPr>
        <w:t xml:space="preserve">sim/out/freq_plan.md</w:t>
      </w:r>
      <w:r>
        <w:t xml:space="preserve">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постоянные источники — ТКГ 24 МГц и тактирование АЦП дают гармоники на сетке n·24 МГц (например, 49·24 = 1176 МГц в 0,45 МГц от центра L5);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FX3 (кварц 19,2 МГц) — только при подключённом USB;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МК — шина 240 МГц и SDMMC 24 МГц.</w:t>
      </w:r>
    </w:p>
    <w:p>
      <w:pPr>
        <w:pStyle w:val="EskdText"/>
      </w:pPr>
      <w:r>
        <w:t xml:space="preserve">Меры против них: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экранирование ВЧ-каналов;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разделение слоёв земли и фильтрация питания (LP5907 на каждый канал);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цифровое подавление режекторным фильтром ПЛИС (подраздел 4.4.3), положение гармоник на ПЧ при этом известно заранее.</w:t>
      </w:r>
    </w:p>
    <w:p>
      <w:pPr>
        <w:pStyle w:val="EskdText"/>
      </w:pPr>
      <w:r>
        <w:t xml:space="preserve">4.2.3 Энергетический расчёт тракта — подраздел 5.1.</w:t>
      </w:r>
    </w:p>
    <w:p>
      <w:pPr>
        <w:pStyle w:val="EskdText"/>
      </w:pPr>
      <w:r>
        <w:t xml:space="preserve">4.2.4 У MAX2771 раздельные входные тракты для верхнего (1525…1610 МГц) и нижнего (1160…1290 МГц) диапазонов. Тракт выбирается по частоте гетеродина канала: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каналы 1–2 (L1/E1/B1, G1) — верхний: вход LNAIN_HI (вывод 19), выход LNAOUT_HI (вывод 24), вход смесителя MIXIN_HI (вывод 25). Согласование входа — 5,6 нГн последовательно и 1,7 пФ на общий провод, как в Pocket SDR FE 8CH;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каналы 3–8 (1176…1279 МГц) — нижний: LNAIN_LO (вывод 20), LNAOUT_LO (вывод 23), MIXIN_LO (вывод 26). Согласование по рекомендации изготовителя — 8,4 нГн и 1,1 пФ. Индуктивность взята ближайшая из ряда — 8,2 нГн;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выход МШУ соединяется со входом смесителя через разделительный конденсатор 470 пФ. Входы МШУ и смесителя неиспользуемого диапазона замкнуты на общий провод, его выход МШУ не подключён.</w:t>
      </w:r>
    </w:p>
    <w:p>
      <w:pPr>
        <w:pStyle w:val="EskdText"/>
      </w:pPr>
      <w:r>
        <w:t xml:space="preserve">Программа МК выбирает тракт битами MAX2771: в каналах 3–8 LNAMODE = 1, MIXERMODE = 1, LOBAND = 1 (так настроен канал L5 в конфигурации Pocket SDR). Номиналы согласования уточняются по измерениям на опытном образце.</w:t>
      </w:r>
    </w:p>
    <w:p>
      <w:pPr>
        <w:pStyle w:val="Heading2"/>
      </w:pPr>
      <w:r>
        <w:t xml:space="preserve">4.3 Тактирование и шкала времени</w:t>
      </w:r>
    </w:p>
    <w:p>
      <w:pPr>
        <w:pStyle w:val="EskdText"/>
      </w:pPr>
      <w:r>
        <w:t xml:space="preserve">4.3.1 ТКГ TG2520SMN 24 МГц через буфер 74FCT3807 тактирует опорные входы восьми MAX2771. Это обеспечивает когерентность гетеродинов всех каналов. Тактовый сигнал АЦП одного канала (24 МГц) поступает в ПЛИС. ФАПЧ ПЛИС формирует из него 96 МГц, жёстко связанные с моментами дискретизации (четыре такта на отсчёт).</w:t>
      </w:r>
    </w:p>
    <w:p>
      <w:pPr>
        <w:pStyle w:val="EskdText"/>
      </w:pPr>
      <w:r>
        <w:t xml:space="preserve">4.3.2 Шкала времени ПЛИС — 64-разрядный счётчик тактов 96 МГц. По нему фиксируются: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события EXTINT;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фронты внешней опоры 10 МГц / 1PPS;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сбросы корреляторов (номер отсчёта).</w:t>
      </w:r>
    </w:p>
    <w:p>
      <w:pPr>
        <w:pStyle w:val="EskdText"/>
      </w:pPr>
      <w:r>
        <w:t xml:space="preserve">1PPS формируется аппаратным компаратором в заданный МК такт. Остаточная ошибка квантования (до ±5,2 нс) выдаётся в протоколе как поправка qErr.</w:t>
      </w:r>
    </w:p>
    <w:p>
      <w:pPr>
        <w:pStyle w:val="Heading2"/>
      </w:pPr>
      <w:r>
        <w:t xml:space="preserve">4.4 ПЛИС</w:t>
      </w:r>
    </w:p>
    <w:p>
      <w:pPr>
        <w:pStyle w:val="EskdText"/>
      </w:pPr>
      <w:r>
        <w:t xml:space="preserve">4.4.1 Структура (</w:t>
      </w:r>
      <w:r>
        <w:rPr>
          <w:rFonts w:ascii="Courier New" w:hAnsi="Courier New" w:cs="Courier New" w:eastAsia="Courier New"/>
        </w:rPr>
        <w:t xml:space="preserve">fpga/rtl</w:t>
      </w:r>
      <w:r>
        <w:t xml:space="preserve">):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3037"/>
        <w:gridCol w:w="6884"/>
      </w:tblGrid>
      <w:tr>
        <w:trPr>
          <w:cantSplit/>
          <w:tblHeader/>
        </w:trPr>
        <w:tc>
          <w:tcPr>
            <w:tcW w:w="303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Модуль</w:t>
            </w:r>
          </w:p>
        </w:tc>
        <w:tc>
          <w:tcPr>
            <w:tcW w:w="688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w="303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rf_capture</w:t>
            </w:r>
          </w:p>
        </w:tc>
        <w:tc>
          <w:tcPr>
            <w:tcW w:w="688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приём отсчётов, счётчик отсчётов и T96, формат PocketSDR для FX3</w:t>
            </w:r>
          </w:p>
        </w:tc>
      </w:tr>
      <w:tr>
        <w:trPr>
          <w:cantSplit/>
        </w:trPr>
        <w:tc>
          <w:tcPr>
            <w:tcW w:w="303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notch</w:t>
            </w:r>
          </w:p>
        </w:tc>
        <w:tc>
          <w:tcPr>
            <w:tcW w:w="688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режекторный фильтр (компенсатор гармонических помех), 8 каналов</w:t>
            </w:r>
          </w:p>
        </w:tc>
      </w:tr>
      <w:tr>
        <w:trPr>
          <w:cantSplit/>
        </w:trPr>
        <w:tc>
          <w:tcPr>
            <w:tcW w:w="303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corr_bank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corr_engine</w:t>
            </w:r>
          </w:p>
        </w:tc>
        <w:tc>
          <w:tcPr>
            <w:tcW w:w="688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 движков по 16 каналов, обработка групп по 4 отсчёта</w:t>
            </w:r>
          </w:p>
        </w:tc>
      </w:tr>
      <w:tr>
        <w:trPr>
          <w:cantSplit/>
        </w:trPr>
        <w:tc>
          <w:tcPr>
            <w:tcW w:w="303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cmem_4kx4</w:t>
            </w:r>
          </w:p>
        </w:tc>
        <w:tc>
          <w:tcPr>
            <w:tcW w:w="688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память кодов: EBR 4K×4 на канал</w:t>
            </w:r>
          </w:p>
        </w:tc>
      </w:tr>
      <w:tr>
        <w:trPr>
          <w:cantSplit/>
        </w:trPr>
        <w:tc>
          <w:tcPr>
            <w:tcW w:w="303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snapshot</w:t>
            </w:r>
          </w:p>
        </w:tc>
        <w:tc>
          <w:tcPr>
            <w:tcW w:w="688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снимок до 65536 отсчётов канала для захвата</w:t>
            </w:r>
          </w:p>
        </w:tc>
      </w:tr>
      <w:tr>
        <w:trPr>
          <w:cantSplit/>
        </w:trPr>
        <w:tc>
          <w:tcPr>
            <w:tcW w:w="303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timebase</w:t>
            </w:r>
          </w:p>
        </w:tc>
        <w:tc>
          <w:tcPr>
            <w:tcW w:w="688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1PPS, EXTINT, вход опоры, периодическое прерывание</w:t>
            </w:r>
          </w:p>
        </w:tc>
      </w:tr>
      <w:tr>
        <w:trPr>
          <w:cantSplit/>
        </w:trPr>
        <w:tc>
          <w:tcPr>
            <w:tcW w:w="303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fmc_slave</w:t>
            </w:r>
          </w:p>
        </w:tc>
        <w:tc>
          <w:tcPr>
            <w:tcW w:w="688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ведомый шины FMC STM32 (мультиплексированный режим, NWAIT)</w:t>
            </w:r>
          </w:p>
        </w:tc>
      </w:tr>
      <w:tr>
        <w:trPr>
          <w:cantSplit/>
        </w:trPr>
        <w:tc>
          <w:tcPr>
            <w:tcW w:w="303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max_spi</w:t>
            </w:r>
          </w:p>
        </w:tc>
        <w:tc>
          <w:tcPr>
            <w:tcW w:w="688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SPI MAX2771 с режимом прямого доступа FX3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4.4.2 Движок коррелятора обслуживает 16 каналов с разделением во времени. За один такт 96 МГц он обрабатывает группу из четырёх отсчётов одного канала, поэтому 16 каналов обслуживаются за 16 тактов (четыре периода отсчёта). На каждый канал хранятся: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NCO несущей (32 бит) с таблицей cos/sin (64 точки);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NCO кода (целая часть до 16383 чипов и 32-битная дробная);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три отвода — ранний, точный, поздний. Расстояние E–L задаётся с разрешением 2</w:t>
      </w:r>
      <w:r>
        <w:rPr>
          <w:vertAlign w:val="superscript"/>
        </w:rPr>
        <w:t xml:space="preserve">−16</w:t>
      </w:r>
      <w:r>
        <w:t xml:space="preserve"> чипа.</w:t>
      </w:r>
    </w:p>
    <w:p>
      <w:pPr>
        <w:pStyle w:val="EskdText"/>
      </w:pPr>
      <w:r>
        <w:t xml:space="preserve">Поддерживаются модуляции BOC(1,1) и TDM (L1C, B1C, L2C). Коды хранятся в EBR (до 16 384 чипов на канал). Этого достаточно для всех первичных кодов длиной до 10 230 чипов (L5, L1C, B1C, B3I, E6) с периодом до 10 мс. Длинный код L2CL (767 250 чипов) не используется: слежение по L2C ведётся по компоненте CM. Смена шагов NCO применяется в конце группы, содержащей сброс (поэтому ПО МК точно повторяет состояние NCO). Пуск каналов — синхронный, с заданного номера отсчёта (START_T/START_MASK).</w:t>
      </w:r>
    </w:p>
    <w:p>
      <w:pPr>
        <w:pStyle w:val="EskdText"/>
      </w:pPr>
      <w:r>
        <w:t xml:space="preserve">4.4.3 Режекторный фильтр (</w:t>
      </w:r>
      <w:r>
        <w:rPr>
          <w:rFonts w:ascii="Courier New" w:hAnsi="Courier New" w:cs="Courier New" w:eastAsia="Courier New"/>
        </w:rPr>
        <w:t xml:space="preserve">fpga/rtl/notch.v</w:t>
      </w:r>
      <w:r>
        <w:t xml:space="preserve">). Для каждого ВЧ-канала, где ПО МК обнаружило узкополосную помеху, выполняется: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перенос помехи на нулевую частоту NCO с частотой помехи;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оценка её комплексной амплитуды экспоненциальным сглаживанием (постоянная 2</w:t>
      </w:r>
      <w:r>
        <w:rPr>
          <w:vertAlign w:val="superscript"/>
        </w:rPr>
        <w:t xml:space="preserve">μ</w:t>
      </w:r>
      <w:r>
        <w:t xml:space="preserve"> отсчётов);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вычитание восстановленной помехи из входных отсчётов;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повторное 2-битное квантование с адаптивным порогом (АРУ).</w:t>
      </w:r>
    </w:p>
    <w:p>
      <w:pPr>
        <w:pStyle w:val="EskdText"/>
      </w:pPr>
      <w:r>
        <w:t xml:space="preserve">При слабой помехе (J/N &lt; −5 дБ) перед квантованием добавляется псевдослучайный дизеринг ±1 единица. Он линеаризует квантователь: иначе знак отсчёта сохраняет помеху. Две дорожки по четыре канала обрабатываются конвейером из 14 ступеней, задержка — 18 тактов. Вычисление идёт на восьми умножителях MULT18X18D. Выключенный канал передаётся без изменений.</w:t>
      </w:r>
    </w:p>
    <w:p>
      <w:pPr>
        <w:pStyle w:val="EskdText"/>
      </w:pPr>
      <w:r>
        <w:t xml:space="preserve">4.4.4 Ресурсы и быстродействие — подраздел 6.2.</w:t>
      </w:r>
    </w:p>
    <w:p>
      <w:pPr>
        <w:pStyle w:val="Heading2"/>
      </w:pPr>
      <w:r>
        <w:t xml:space="preserve">4.5 Микроконтроллер и ПО</w:t>
      </w:r>
    </w:p>
    <w:p>
      <w:pPr>
        <w:pStyle w:val="EskdText"/>
      </w:pPr>
      <w:r>
        <w:t xml:space="preserve">4.5.1 STM32H743 (Cortex-M7, 480 МГц, 1 МБ ОЗУ) выбран по трём причинам: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производительность с плавающей точкой (захват с БПФ и навигационное решение);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наличие FMC для связи с ПЛИС;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CAN FD, SDMMC, USB.</w:t>
      </w:r>
    </w:p>
    <w:p>
      <w:pPr>
        <w:pStyle w:val="EskdText"/>
      </w:pPr>
      <w:r>
        <w:t xml:space="preserve">4.5.2 Функции ПО МК (</w:t>
      </w:r>
      <w:r>
        <w:rPr>
          <w:rFonts w:ascii="Courier New" w:hAnsi="Courier New" w:cs="Courier New" w:eastAsia="Courier New"/>
        </w:rPr>
        <w:t xml:space="preserve">sw/fw</w:t>
      </w:r>
      <w:r>
        <w:t xml:space="preserve">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по снимкам: параллельный поиск по задержке с БПФ, некогерентное накопление по снимкам; режим длительного накопления для слабых сигналов — подраздел 5.3;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слежение: ФАП 2-го порядка с поддержкой ЧАП, ССЗ с поддержкой от несущей, индикаторы захвата и оценка C/N0. Для слабых сигналов результаты периодов кода когерентно накапливаются в ПО на 20 мс: по границам битов для сигналов с данными, со снятием вторичного кода для пилотных (E1C — CS25, L5Q — NH20);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сообщение GPS LNAV: синхронизация, чётность, эфемериды, ионосфера, UTC;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сообщение ГЛОНАСС L1OF/L2OF: синхронизация по метке времени, меандр и относительный код, код Хэмминга, эфемериды ПЗ-90 (строки 1–4), время строк, дата (строка 5: NA, N4 — для работы без GPS);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сообщение Galileo I/NAV (E1-B, символ — период кода 4 мс): синхронизация по частям страницы, обратное перемежение, декодер Витерби (K = 7), CRC-24Q; эфемериды и часы — по словам 1–4 одной редакции IODnav, BGD и состояние КА — по слову 5, время GST;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сообщение BeiDou D1 (B1I, КА MEO/IGSO): граница бита — по коду NH20, синхрокомбинация подкадра, BCH(15,11), эфемериды, часы и TGD1 (подкадры 1–3), время BDT;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двухчастотные измерения по парам L1 C/A + L2C или L5, ГЛОНАСС G1 + G2, E1-B + E5a, B1I + B3I: канал второй частоты пускается по каналу первой без поиска, в решение идёт ионосферно-свободная комбинация с поправкой на групповую задержку комбинации;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решение: взвешенный МНК с весами по ожидаемому шуму кода (теория ССЗ, сглаживание) и ошибке модели ионосферы, поправки (часы КА, вращение Земли, тропосфера, ионосфера), скорость по доплеру, DOP;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1PPS по решению с поправкой qErr;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протоколы NMEA-0183 (GGA, RMC, GSA, GSV, GST, ZDA), RTCM 3.3 (MSM7, 1005) и собственный двоичный протокол (кадр «M8» с CRC-16: решение, сырые измерения, эфемериды, состояние каналов, ИТМ; </w:t>
      </w:r>
      <w:r>
        <w:rPr>
          <w:rFonts w:ascii="Courier New" w:hAnsi="Courier New" w:cs="Courier New" w:eastAsia="Courier New"/>
        </w:rPr>
        <w:t xml:space="preserve">sw/fw/inc/proto.h</w:t>
      </w:r>
      <w:r>
        <w:t xml:space="preserve">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спектральный контроль каналов и автоматическая настройка режекторного фильтра.</w:t>
      </w:r>
    </w:p>
    <w:p>
      <w:pPr>
        <w:pStyle w:val="EskdText"/>
      </w:pPr>
      <w:r>
        <w:t xml:space="preserve">4.5.3 Вычислительное ядро ПО МК собирается для Cortex-M7 (</w:t>
      </w:r>
      <w:r>
        <w:rPr>
          <w:rFonts w:ascii="Courier New" w:hAnsi="Courier New" w:cs="Courier New" w:eastAsia="Courier New"/>
        </w:rPr>
        <w:t xml:space="preserve">make -C sw/fw mcu</w:t>
      </w:r>
      <w:r>
        <w:t xml:space="preserve">) без предупреждений. Объём: код и таблицы 427 КБ флеш-памяти (из 2 МБ), статические данные 452 КБ ОЗУ, буферы режима длительного накопления 384 КБ; всего ОЗУ около 836 КБ (из 1 МБ). Платформенная часть (начальный запуск, драйверы интерфейсов, загрузчик) разрабатывается при изготовлении опытного образца.</w:t>
      </w:r>
    </w:p>
    <w:p>
      <w:pPr>
        <w:pStyle w:val="Heading2"/>
      </w:pPr>
      <w:r>
        <w:t xml:space="preserve">4.6 Интерфейсы и питание</w:t>
      </w:r>
    </w:p>
    <w:p>
      <w:pPr>
        <w:pStyle w:val="EskdText"/>
      </w:pPr>
      <w:r>
        <w:t xml:space="preserve">4.6.1 Интерфейсы — по ТЗ, п. 5.3: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SMA: антенна, 1PPS, опора;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JST GH: порт ГНСС Pixhawk, порт времени, CAN FD;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USB Type-C (USB 3.0, FX3);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microSD;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JTAG и SWD.</w:t>
      </w:r>
    </w:p>
    <w:p>
      <w:pPr>
        <w:pStyle w:val="EskdText"/>
      </w:pPr>
      <w:r>
        <w:t xml:space="preserve">Входы питания и интерфейсов защищены сборками USBLC6-2 и ESD-диодами.</w:t>
      </w:r>
    </w:p>
    <w:p>
      <w:pPr>
        <w:pStyle w:val="EskdText"/>
      </w:pPr>
      <w:r>
        <w:t xml:space="preserve">4.6.2 Питание 5 В — от USB VBUS, порта ГНСС или порта CAN. Источник выбирается идеальными диодами MAX40200, обратный ток исключён. Вторичные источники: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322"/>
        <w:gridCol w:w="7599"/>
      </w:tblGrid>
      <w:tr>
        <w:trPr>
          <w:cantSplit/>
          <w:tblHeader/>
        </w:trPr>
        <w:tc>
          <w:tcPr>
            <w:tcW w:w="23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Источник</w:t>
            </w:r>
          </w:p>
        </w:tc>
        <w:tc>
          <w:tcPr>
            <w:tcW w:w="759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w="23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TPS62130</w:t>
            </w:r>
          </w:p>
        </w:tc>
        <w:tc>
          <w:tcPr>
            <w:tcW w:w="759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+3,3 В цифровая, +1,1 В ядро ПЛИС</w:t>
            </w:r>
          </w:p>
        </w:tc>
      </w:tr>
      <w:tr>
        <w:trPr>
          <w:cantSplit/>
        </w:trPr>
        <w:tc>
          <w:tcPr>
            <w:tcW w:w="23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LP5907</w:t>
            </w:r>
          </w:p>
        </w:tc>
        <w:tc>
          <w:tcPr>
            <w:tcW w:w="759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 каждые два ВЧ-канала и на тактирование</w:t>
            </w:r>
          </w:p>
        </w:tc>
      </w:tr>
      <w:tr>
        <w:trPr>
          <w:cantSplit/>
        </w:trPr>
        <w:tc>
          <w:tcPr>
            <w:tcW w:w="23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LP5907 2,5 В</w:t>
            </w:r>
          </w:p>
        </w:tc>
        <w:tc>
          <w:tcPr>
            <w:tcW w:w="759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VCCAUX ПЛИС</w:t>
            </w:r>
          </w:p>
        </w:tc>
      </w:tr>
      <w:tr>
        <w:trPr>
          <w:cantSplit/>
        </w:trPr>
        <w:tc>
          <w:tcPr>
            <w:tcW w:w="23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отдельный TPS62130</w:t>
            </w:r>
          </w:p>
        </w:tc>
        <w:tc>
          <w:tcPr>
            <w:tcW w:w="759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ядро 1,2 В FX3 (FX3 питается от VBUS и выключен в автономном режиме)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4.6.3 Питание антенны 5 В (3,3 В — перемычкой). Ключ TPS22917 и датчик тока INA181: ток контролирует аналоговый сторожевой таймер АЦП МК, отключение при КЗ — 4,8 мкс (подраздел 5.6). Резервная защита — предохранитель 0,1 А.</w:t>
      </w:r>
    </w:p>
    <w:p>
      <w:pPr>
        <w:pStyle w:val="Heading2"/>
      </w:pPr>
      <w:r>
        <w:t xml:space="preserve">4.7 Конструкция печатной платы</w:t>
      </w:r>
    </w:p>
    <w:p>
      <w:pPr>
        <w:pStyle w:val="EskdText"/>
      </w:pPr>
      <w:r>
        <w:t xml:space="preserve">4.7.1 Плата 8-слойная, FR-4 (Tg ≥ 170 °С). Восемь слоёв (вместо шести по первоначальной редакции ТЗ) нужны по трём причинам: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разводка BGA381 с шагом 0,8 мм требует четырёх сигнальных слоёв;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под ВЧ-каналами нужны сплошные опорные слои земли;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питание нужно разделить на цифровую и ВЧ-части.</w:t>
      </w:r>
    </w:p>
    <w:p>
      <w:pPr>
        <w:pStyle w:val="EskdText"/>
      </w:pPr>
      <w:r>
        <w:t xml:space="preserve">ТЗ п. 5.8.1 откорректирован.</w:t>
      </w:r>
    </w:p>
    <w:p>
      <w:pPr>
        <w:pStyle w:val="EskdText"/>
      </w:pPr>
      <w:r>
        <w:t xml:space="preserve">4.7.2 ВЧ-каналы размещаются группами по четыре под двумя экранами со съёмными крышками. ПЛИС отводит тепло через теплопроводящую прокладку на крышку корпуса (подраздел 5.7).</w:t>
      </w:r>
    </w:p>
    <w:p>
      <w:pPr>
        <w:pStyle w:val="Heading1"/>
      </w:pPr>
      <w:r>
        <w:t xml:space="preserve">5 Расчёты и моделирование</w:t>
      </w:r>
    </w:p>
    <w:p>
      <w:pPr>
        <w:pStyle w:val="Heading2"/>
      </w:pPr>
      <w:r>
        <w:t xml:space="preserve">5.1 Энергетический расчёт ВЧ-тракта</w:t>
      </w:r>
    </w:p>
    <w:p>
      <w:pPr>
        <w:pStyle w:val="EskdText"/>
      </w:pPr>
      <w:r>
        <w:t xml:space="preserve">5.1.1 Расчёт — </w:t>
      </w:r>
      <w:r>
        <w:rPr>
          <w:rFonts w:ascii="Courier New" w:hAnsi="Courier New" w:cs="Courier New" w:eastAsia="Courier New"/>
        </w:rPr>
        <w:t xml:space="preserve">sim/rf_budget.py</w:t>
      </w:r>
      <w:r>
        <w:t xml:space="preserve">, результаты — </w:t>
      </w:r>
      <w:r>
        <w:rPr>
          <w:rFonts w:ascii="Courier New" w:hAnsi="Courier New" w:cs="Courier New" w:eastAsia="Courier New"/>
        </w:rPr>
        <w:t xml:space="preserve">sim/out/rf_budget.md</w:t>
      </w:r>
      <w:r>
        <w:t xml:space="preserve">. Коэффициент шума тракта от входа активной антенны (МШУ 28 дБ, 2 дБ; кабель 3 дБ; делитель 1:8 с потерями 3 × 3,5 дБ; MAX2771 — 1,4 дБ в верхнем диапазоне, 1,6 дБ в нижнем) — 2,15 дБ в обоих диапазонах. Запаса усиления МШУ хватает, чтобы потери делителя и разница коэффициентов шума MAX2771 практически не ухудшали шум.</w:t>
      </w:r>
    </w:p>
    <w:p>
      <w:pPr>
        <w:pStyle w:val="EskdText"/>
      </w:pPr>
      <w:r>
        <w:t xml:space="preserve">5.1.2 Отношение C/N0 при минимальной гарантированной мощности сигналов и антенне 0 дБи: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от 35,7 дБГц (ГЛОНАСС L2OF) до 44,7 дБГц (GPS L5);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для L1 C/A — 44,4 дБГц;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 низком угле места (−5 дБи) — 30,7…39,7 дБГц.</w:t>
      </w:r>
    </w:p>
    <w:p>
      <w:pPr>
        <w:pStyle w:val="EskdText"/>
      </w:pPr>
      <w:r>
        <w:t xml:space="preserve">Пересчёт уровней ТЗ: −142 дБм соответствует 28,8 дБГц, −147 дБм — 23,8 дБГц, −150 дБм — 20,8 дБГц.</w:t>
      </w:r>
    </w:p>
    <w:p>
      <w:pPr>
        <w:pStyle w:val="EskdText"/>
      </w:pPr>
      <w:r>
        <w:t xml:space="preserve">5.1.3 Потери квантования (</w:t>
      </w:r>
      <w:r>
        <w:rPr>
          <w:rFonts w:ascii="Courier New" w:hAnsi="Courier New" w:cs="Courier New" w:eastAsia="Courier New"/>
        </w:rPr>
        <w:t xml:space="preserve">sim/out/signals.md</w:t>
      </w:r>
      <w:r>
        <w:t xml:space="preserve">): для 2 бит с порогом 1σ — 0,55 дБ. Порог поддерживает АРУ MAX2771.</w:t>
      </w:r>
    </w:p>
    <w:p>
      <w:pPr>
        <w:pStyle w:val="Heading2"/>
      </w:pPr>
      <w:r>
        <w:t xml:space="preserve">5.2 Захват и слежение по сигналам всех систем</w:t>
      </w:r>
    </w:p>
    <w:p>
      <w:pPr>
        <w:pStyle w:val="EskdText"/>
      </w:pPr>
      <w:r>
        <w:t xml:space="preserve">Эталонный программный приёмник (</w:t>
      </w:r>
      <w:r>
        <w:rPr>
          <w:rFonts w:ascii="Courier New" w:hAnsi="Courier New" w:cs="Courier New" w:eastAsia="Courier New"/>
        </w:rPr>
        <w:t xml:space="preserve">sw/pyrx</w:t>
      </w:r>
      <w:r>
        <w:t xml:space="preserve">) на модели сигнала 45 дБГц (</w:t>
      </w:r>
      <w:r>
        <w:rPr>
          <w:rFonts w:ascii="Courier New" w:hAnsi="Courier New" w:cs="Courier New" w:eastAsia="Courier New"/>
        </w:rPr>
        <w:t xml:space="preserve">sim/out/signals.md</w:t>
      </w:r>
      <w:r>
        <w:t xml:space="preserve">) проверяет захват и слежение для восьми сигналов разных систем и диапазонов: L1 C/A, E1C, B1I, ГЛОНАСС L1, L5Q, E5aQ, B3I, L2CM. Захват выполнен везде с ошибкой задержки не более 0,14 чипа. Измеренная СКО кода в слежении: 0,11…1,85 м. Оценка C/N0 совпадает с заданной в пределах 2,5 дБ.</w:t>
      </w:r>
    </w:p>
    <w:p>
      <w:pPr>
        <w:pStyle w:val="Heading2"/>
      </w:pPr>
      <w:r>
        <w:t xml:space="preserve">5.3 Чувствительность захвата</w:t>
      </w:r>
    </w:p>
    <w:p>
      <w:pPr>
        <w:pStyle w:val="EskdText"/>
      </w:pPr>
      <w:r>
        <w:t xml:space="preserve">5.3.1 Обычный режим захвата: четыре снимка по два периода кода (8 мс некогерентно), решение по отношению пика ко второму пику ≥ 2. Обнаружение надёжно при C/N0 от ≈ 38 дБГц, этого достаточно для холодного старта при открытом небе (ТЗ п. 5.2.4).</w:t>
      </w:r>
    </w:p>
    <w:p>
      <w:pPr>
        <w:pStyle w:val="EskdText"/>
      </w:pPr>
      <w:r>
        <w:t xml:space="preserve">5.3.2 Для уровня −142 дБм (29 дБГц, ТЗ п. 5.2.3) разработан режим длительного накопления (</w:t>
      </w:r>
      <w:r>
        <w:rPr>
          <w:rFonts w:ascii="Courier New" w:hAnsi="Courier New" w:cs="Courier New" w:eastAsia="Courier New"/>
        </w:rPr>
        <w:t xml:space="preserve">acq_weak_*</w:t>
      </w:r>
      <w:r>
        <w:t xml:space="preserve"> в </w:t>
      </w:r>
      <w:r>
        <w:rPr>
          <w:rFonts w:ascii="Courier New" w:hAnsi="Courier New" w:cs="Courier New" w:eastAsia="Courier New"/>
        </w:rPr>
        <w:t xml:space="preserve">sw/fw/src/acq.c</w:t>
      </w:r>
      <w:r>
        <w:t xml:space="preserve">). Расчёт по распределениям χ² (вероятность ложной тревоги 10</w:t>
      </w:r>
      <w:r>
        <w:rPr>
          <w:vertAlign w:val="superscript"/>
        </w:rPr>
        <w:t xml:space="preserve">−2</w:t>
      </w:r>
      <w:r>
        <w:t xml:space="preserve"> на PRN при 196 тыс. ячеек поиска, потери реализации 1,5 дБ) показывает, что для вероятности обнаружения ≥ 0,9 нужно: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021"/>
        <w:gridCol w:w="7900"/>
      </w:tblGrid>
      <w:tr>
        <w:trPr>
          <w:cantSplit/>
          <w:tblHeader/>
        </w:trPr>
        <w:tc>
          <w:tcPr>
            <w:tcW w:w="20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C/N0</w:t>
            </w:r>
          </w:p>
        </w:tc>
        <w:tc>
          <w:tcPr>
            <w:tcW w:w="79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Некогерентное накопление (периоды 1 мс)</w:t>
            </w:r>
          </w:p>
        </w:tc>
      </w:tr>
      <w:tr>
        <w:trPr>
          <w:cantSplit/>
        </w:trPr>
        <w:tc>
          <w:tcPr>
            <w:tcW w:w="20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 дБГц</w:t>
            </w:r>
          </w:p>
        </w:tc>
        <w:tc>
          <w:tcPr>
            <w:tcW w:w="79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256</w:t>
            </w:r>
          </w:p>
        </w:tc>
      </w:tr>
      <w:tr>
        <w:trPr>
          <w:cantSplit/>
        </w:trPr>
        <w:tc>
          <w:tcPr>
            <w:tcW w:w="20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32 дБГц</w:t>
            </w:r>
          </w:p>
        </w:tc>
        <w:tc>
          <w:tcPr>
            <w:tcW w:w="79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64</w:t>
            </w:r>
          </w:p>
        </w:tc>
      </w:tr>
      <w:tr>
        <w:trPr>
          <w:cantSplit/>
        </w:trPr>
        <w:tc>
          <w:tcPr>
            <w:tcW w:w="20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 дБГц</w:t>
            </w:r>
          </w:p>
        </w:tc>
        <w:tc>
          <w:tcPr>
            <w:tcW w:w="79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32</w:t>
            </w:r>
          </w:p>
        </w:tc>
      </w:tr>
      <w:tr>
        <w:trPr>
          <w:cantSplit/>
        </w:trPr>
        <w:tc>
          <w:tcPr>
            <w:tcW w:w="20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38 дБГц</w:t>
            </w:r>
          </w:p>
        </w:tc>
        <w:tc>
          <w:tcPr>
            <w:tcW w:w="79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Снимки идут потоком. Для каждой ячейки доплера используются свежие снимки. Перенос на нулевую частоту и БПФ общие для группы PRN; для каждого PRN — умножение на спектр копии, обратное БПФ и накопление со сдвигом на доплер кода. Решение принимается по критерию постоянной вероятности ложной тревоги: z = (пик / среднее − 1)·√K &gt; 6,5.</w:t>
      </w:r>
    </w:p>
    <w:p>
      <w:pPr>
        <w:pStyle w:val="EskdText"/>
      </w:pPr>
      <w:r>
        <w:t xml:space="preserve">5.3.3 Проверка (</w:t>
      </w:r>
      <w:r>
        <w:rPr>
          <w:rFonts w:ascii="Courier New" w:hAnsi="Courier New" w:cs="Courier New" w:eastAsia="Courier New"/>
        </w:rPr>
        <w:t xml:space="preserve">sw/fw/tests/test_acq_weak.c</w:t>
      </w:r>
      <w:r>
        <w:t xml:space="preserve">). GPS L1 C/A с навигационными битами, 2-битный АЦП, K = 256, 13 ячеек доплера: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обнаружены все три КА: 29 дБГц (z = 9,4), 31 дБГц (z = 13,2) и 33 дБГц (z = 22,2);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фазы кода не более 0,11 чипа;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для четырёх отсутствующих PRN z не превысило 5,3 — ложных обнаружений нет.</w:t>
      </w:r>
    </w:p>
    <w:p>
      <w:pPr>
        <w:pStyle w:val="EskdText"/>
      </w:pPr>
      <w:r>
        <w:t xml:space="preserve">5.3.4 Трудоёмкость на МК (CMSIS-DSP, БПФ 4096 точек ≈ 0,7 мс): около 18,5 мс на снимок для группы из 8 PRN. Полный поиск 32 PRN GPS в диапазоне ±6 кГц при K = 256 занимает около 8 мин (≈ 464 с), при C/N0 ≥ 35 дБГц — около 1 мин. Время поиска на пороговом уровне внесено в ТЗ (п. 5.2.3). Сократить его можно двумя путями: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сузить диапазон доплера после захвата первого КА: уход ТКГ становится известен;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использовать альманах при тёплом старте.</w:t>
      </w:r>
    </w:p>
    <w:p>
      <w:pPr>
        <w:pStyle w:val="EskdText"/>
      </w:pPr>
      <w:r>
        <w:t xml:space="preserve">5.3.5 Слежение за слабыми сигналами (ТЗ п. 5.2.3, ПМ 7.2.3 в). После втягивания при C/N0 ниже 32 дБГц канал переходит к длительному накоплению: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интервал петель 20 мс;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ФАП 5 Гц без ЧАП, ССЗ 0,2 Гц;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для пилота — четырёхквадрантная ФАП после синхронизации по вторичному коду.</w:t>
      </w:r>
    </w:p>
    <w:p>
      <w:pPr>
        <w:pStyle w:val="EskdText"/>
      </w:pPr>
      <w:r>
        <w:t xml:space="preserve">Проверка на модели ПЛИС (</w:t>
      </w:r>
      <w:r>
        <w:rPr>
          <w:rFonts w:ascii="Courier New" w:hAnsi="Courier New" w:cs="Courier New" w:eastAsia="Courier New"/>
        </w:rPr>
        <w:t xml:space="preserve">sw/fw/tests/test_trk_weak.c</w:t>
      </w:r>
      <w:r>
        <w:t xml:space="preserve">): сигнал снижается от 40 дБГц со скоростью 4 дБ/с, доплер меняется на 0,5 Гц/с, оценка — по последним 5 с: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1482"/>
        <w:gridCol w:w="708"/>
        <w:gridCol w:w="1160"/>
        <w:gridCol w:w="1546"/>
        <w:gridCol w:w="1353"/>
        <w:gridCol w:w="3672"/>
      </w:tblGrid>
      <w:tr>
        <w:trPr>
          <w:cantSplit/>
          <w:tblHeader/>
        </w:trPr>
        <w:tc>
          <w:tcPr>
            <w:tcW w:w="14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Сигнал</w:t>
            </w:r>
          </w:p>
        </w:tc>
        <w:tc>
          <w:tcPr>
            <w:tcW w:w="7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C/N0</w:t>
            </w:r>
          </w:p>
        </w:tc>
        <w:tc>
          <w:tcPr>
            <w:tcW w:w="11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Доля в захвате</w:t>
            </w:r>
          </w:p>
        </w:tc>
        <w:tc>
          <w:tcPr>
            <w:tcW w:w="154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Ошибка частоты (СКО)</w:t>
            </w:r>
          </w:p>
        </w:tc>
        <w:tc>
          <w:tcPr>
            <w:tcW w:w="13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Ошибка кода (СКО)</w:t>
            </w:r>
          </w:p>
        </w:tc>
        <w:tc>
          <w:tcPr>
            <w:tcW w:w="3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Прочее</w:t>
            </w:r>
          </w:p>
        </w:tc>
      </w:tr>
      <w:tr>
        <w:trPr>
          <w:cantSplit/>
        </w:trPr>
        <w:tc>
          <w:tcPr>
            <w:tcW w:w="14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 L1 C/A (данные)</w:t>
            </w:r>
          </w:p>
        </w:tc>
        <w:tc>
          <w:tcPr>
            <w:tcW w:w="7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 дБГц</w:t>
            </w:r>
          </w:p>
        </w:tc>
        <w:tc>
          <w:tcPr>
            <w:tcW w:w="11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100 %</w:t>
            </w:r>
          </w:p>
        </w:tc>
        <w:tc>
          <w:tcPr>
            <w:tcW w:w="154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0,81 Гц</w:t>
            </w:r>
          </w:p>
        </w:tc>
        <w:tc>
          <w:tcPr>
            <w:tcW w:w="13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0,014 чипа</w:t>
            </w:r>
          </w:p>
        </w:tc>
        <w:tc>
          <w:tcPr>
            <w:tcW w:w="3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ошибок в битах нет (250 бит), полуцикловых срывов нет</w:t>
            </w:r>
          </w:p>
        </w:tc>
      </w:tr>
      <w:tr>
        <w:trPr>
          <w:cantSplit/>
        </w:trPr>
        <w:tc>
          <w:tcPr>
            <w:tcW w:w="14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Galileo E1C (пилот)</w:t>
            </w:r>
          </w:p>
        </w:tc>
        <w:tc>
          <w:tcPr>
            <w:tcW w:w="7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21 дБГц</w:t>
            </w:r>
          </w:p>
        </w:tc>
        <w:tc>
          <w:tcPr>
            <w:tcW w:w="11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100 %</w:t>
            </w:r>
          </w:p>
        </w:tc>
        <w:tc>
          <w:tcPr>
            <w:tcW w:w="154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1,34 Гц</w:t>
            </w:r>
          </w:p>
        </w:tc>
        <w:tc>
          <w:tcPr>
            <w:tcW w:w="13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0,011 чипа</w:t>
            </w:r>
          </w:p>
        </w:tc>
        <w:tc>
          <w:tcPr>
            <w:tcW w:w="3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Уровень −150 дБм (20,8 дБГц) по пилотной составляющей обеспечивается. Для сигнала с данными при 22 дБГц возможны полуцикловые срывы дискриминатора Костаса. Полярность битов восстанавливается по преамбуле. Оценка C/N0 по методу NWPR при таких уровнях занижена на 1,5–3 дБ.</w:t>
      </w:r>
    </w:p>
    <w:p>
      <w:pPr>
        <w:pStyle w:val="EskdText"/>
      </w:pPr>
      <w:r>
        <w:t xml:space="preserve">5.3.6 Повторный захват (ТЗ п. 5.2.3, −147 дБм ≈ 24 дБГц, перерыв сигнала до 30 с). При срыве в режиме длительного накопления канал не освобождается. Он ведёт NCO по прогнозу: сглаженная частота плюс оценённая скорость её изменения, код — с поддержкой от несущей. Появление сигнала обнаруживается по мощности 20-мс сумм отводов E, P, L относительно оценки шума: не менее 5 превышений порога 4,5 в последних 8 интервалах. Вероятность ложного обнаружения по шуму — около 2·10</w:t>
      </w:r>
      <w:r>
        <w:rPr>
          <w:vertAlign w:val="superscript"/>
        </w:rPr>
        <w:t xml:space="preserve">−6</w:t>
      </w:r>
      <w:r>
        <w:t xml:space="preserve"> на интервал. После обнаружения петли втягиваются заново; если захват не восстановлен за 1 с, канал возвращается к прогнозу.</w:t>
      </w:r>
    </w:p>
    <w:p>
      <w:pPr>
        <w:pStyle w:val="EskdText"/>
      </w:pPr>
      <w:r>
        <w:t xml:space="preserve">Проверка (</w:t>
      </w:r>
      <w:r>
        <w:rPr>
          <w:rFonts w:ascii="Courier New" w:hAnsi="Courier New" w:cs="Courier New" w:eastAsia="Courier New"/>
        </w:rPr>
        <w:t xml:space="preserve">test_trk_weak</w:t>
      </w:r>
      <w:r>
        <w:t xml:space="preserve">, третий сценарий): L1 C/A 24 дБГц, перерыв 30 с, доплер меняется на 0,5 Гц/с.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срыв обнаружен через 0,48 с, ложных обнаружений за перерыв нет;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восстановлен через 0,20 с после появления сигнала;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 последних 5 с: в захвате 100 %, ошибка частоты 0,74 Гц, кода 0,011 чипа, ошибок в битах нет.</w:t>
      </w:r>
    </w:p>
    <w:p>
      <w:pPr>
        <w:pStyle w:val="EskdText"/>
      </w:pPr>
      <w:r>
        <w:t xml:space="preserve">5.3.7 Динамика носителя (ТЗ п. 5.2.10). В режиме захвата используется ФАП 3-го порядка (полоса 18 Гц, Kaplan, табл. 5.6): при постоянном ускорении её установившаяся ошибка нулевая, при рывке — (d²ω/dt²)/ω0³. Проверка (</w:t>
      </w:r>
      <w:r>
        <w:rPr>
          <w:rFonts w:ascii="Courier New" w:hAnsi="Courier New" w:cs="Courier New" w:eastAsia="Courier New"/>
        </w:rPr>
        <w:t xml:space="preserve">sw/fw/tests/test_trk_dyn.c</w:t>
      </w:r>
      <w:r>
        <w:t xml:space="preserve">, модель ПЛИС, L1 C/A 45 дБГц, движение вдоль линии визирования): профиль 300 → 496 м/с, рывок 2g/с, ускорение 4g в течение 3 с.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761"/>
        <w:gridCol w:w="2243"/>
        <w:gridCol w:w="2329"/>
        <w:gridCol w:w="2588"/>
      </w:tblGrid>
      <w:tr>
        <w:trPr>
          <w:cantSplit/>
          <w:tblHeader/>
        </w:trPr>
        <w:tc>
          <w:tcPr>
            <w:tcW w:w="276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Петля</w:t>
            </w:r>
          </w:p>
        </w:tc>
        <w:tc>
          <w:tcPr>
            <w:tcW w:w="224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Срывы</w:t>
            </w:r>
          </w:p>
        </w:tc>
        <w:tc>
          <w:tcPr>
            <w:tcW w:w="232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Ошибка фазы СКО (макс.)</w:t>
            </w:r>
          </w:p>
        </w:tc>
        <w:tc>
          <w:tcPr>
            <w:tcW w:w="258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Ошибка частоты СКО (макс.)</w:t>
            </w:r>
          </w:p>
        </w:tc>
      </w:tr>
      <w:tr>
        <w:trPr>
          <w:cantSplit/>
        </w:trPr>
        <w:tc>
          <w:tcPr>
            <w:tcW w:w="276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ФАП 2-го порядка 10 Гц + ЧАП</w:t>
            </w:r>
          </w:p>
        </w:tc>
        <w:tc>
          <w:tcPr>
            <w:tcW w:w="224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срыв, канал освобождён</w:t>
            </w:r>
          </w:p>
        </w:tc>
        <w:tc>
          <w:tcPr>
            <w:tcW w:w="232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41° (90°)</w:t>
            </w:r>
          </w:p>
        </w:tc>
        <w:tc>
          <w:tcPr>
            <w:tcW w:w="258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32 Гц (60 Гц)</w:t>
            </w:r>
          </w:p>
        </w:tc>
      </w:tr>
      <w:tr>
        <w:trPr>
          <w:cantSplit/>
        </w:trPr>
        <w:tc>
          <w:tcPr>
            <w:tcW w:w="276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ФАП 3-го порядка 18 Гц</w:t>
            </w:r>
          </w:p>
        </w:tc>
        <w:tc>
          <w:tcPr>
            <w:tcW w:w="224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нет</w:t>
            </w:r>
          </w:p>
        </w:tc>
        <w:tc>
          <w:tcPr>
            <w:tcW w:w="232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8,1° (32°)</w:t>
            </w:r>
          </w:p>
        </w:tc>
        <w:tc>
          <w:tcPr>
            <w:tcW w:w="258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1,2 Гц (5 Гц)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Heading2"/>
      </w:pPr>
      <w:r>
        <w:t xml:space="preserve">5.4 Точность навигационного решения и 1PPS</w:t>
      </w:r>
    </w:p>
    <w:p>
      <w:pPr>
        <w:pStyle w:val="EskdText"/>
      </w:pPr>
      <w:r>
        <w:t xml:space="preserve">5.4.1 Геометрия и погрешность решения рассчитаны методом Монте-Карло по бортовым эфемеридам IGS (Москва, 19.06.2021, маска 10°; </w:t>
      </w:r>
      <w:r>
        <w:rPr>
          <w:rFonts w:ascii="Courier New" w:hAnsi="Courier New" w:cs="Courier New" w:eastAsia="Courier New"/>
        </w:rPr>
        <w:t xml:space="preserve">sim/geometry_pvt.py</w:t>
      </w:r>
      <w:r>
        <w:t xml:space="preserve">). Среднее PDOP: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4801"/>
        <w:gridCol w:w="5120"/>
      </w:tblGrid>
      <w:tr>
        <w:trPr>
          <w:cantSplit/>
          <w:tblHeader/>
        </w:trPr>
        <w:tc>
          <w:tcPr>
            <w:tcW w:w="48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Системы</w:t>
            </w:r>
          </w:p>
        </w:tc>
        <w:tc>
          <w:tcPr>
            <w:tcW w:w="51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Среднее PDOP</w:t>
            </w:r>
          </w:p>
        </w:tc>
      </w:tr>
      <w:tr>
        <w:trPr>
          <w:cantSplit/>
        </w:trPr>
        <w:tc>
          <w:tcPr>
            <w:tcW w:w="48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</w:t>
            </w:r>
          </w:p>
        </w:tc>
        <w:tc>
          <w:tcPr>
            <w:tcW w:w="51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1,87</w:t>
            </w:r>
          </w:p>
        </w:tc>
      </w:tr>
      <w:tr>
        <w:trPr>
          <w:cantSplit/>
        </w:trPr>
        <w:tc>
          <w:tcPr>
            <w:tcW w:w="48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GPS+ГЛОНАСС</w:t>
            </w:r>
          </w:p>
        </w:tc>
        <w:tc>
          <w:tcPr>
            <w:tcW w:w="51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1,27</w:t>
            </w:r>
          </w:p>
        </w:tc>
      </w:tr>
      <w:tr>
        <w:trPr>
          <w:cantSplit/>
        </w:trPr>
        <w:tc>
          <w:tcPr>
            <w:tcW w:w="48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Все системы</w:t>
            </w:r>
          </w:p>
        </w:tc>
        <w:tc>
          <w:tcPr>
            <w:tcW w:w="51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0,82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Погрешность в плане (95 %) в двухчастотном режиме со сглаживанием по фазе: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918"/>
        <w:gridCol w:w="3307"/>
        <w:gridCol w:w="3696"/>
      </w:tblGrid>
      <w:tr>
        <w:trPr>
          <w:cantSplit/>
          <w:tblHeader/>
        </w:trPr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Системы</w:t>
            </w:r>
          </w:p>
        </w:tc>
        <w:tc>
          <w:tcPr>
            <w:tcW w:w="330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 плане, 95 %</w:t>
            </w:r>
          </w:p>
        </w:tc>
        <w:tc>
          <w:tcPr>
            <w:tcW w:w="369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высоте, 95 %</w:t>
            </w:r>
          </w:p>
        </w:tc>
      </w:tr>
      <w:tr>
        <w:trPr>
          <w:cantSplit/>
        </w:trPr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</w:t>
            </w:r>
          </w:p>
        </w:tc>
        <w:tc>
          <w:tcPr>
            <w:tcW w:w="330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1,74 м</w:t>
            </w:r>
          </w:p>
        </w:tc>
        <w:tc>
          <w:tcPr>
            <w:tcW w:w="369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3,03 м</w:t>
            </w:r>
          </w:p>
        </w:tc>
      </w:tr>
      <w:tr>
        <w:trPr>
          <w:cantSplit/>
        </w:trPr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GPS+ГЛОНАСС</w:t>
            </w:r>
          </w:p>
        </w:tc>
        <w:tc>
          <w:tcPr>
            <w:tcW w:w="330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1,59 м</w:t>
            </w:r>
          </w:p>
        </w:tc>
        <w:tc>
          <w:tcPr>
            <w:tcW w:w="369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2,81 м</w:t>
            </w:r>
          </w:p>
        </w:tc>
      </w:tr>
      <w:tr>
        <w:trPr>
          <w:cantSplit/>
        </w:trPr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Все системы</w:t>
            </w:r>
          </w:p>
        </w:tc>
        <w:tc>
          <w:tcPr>
            <w:tcW w:w="330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0,88 м</w:t>
            </w:r>
          </w:p>
        </w:tc>
        <w:tc>
          <w:tcPr>
            <w:tcW w:w="369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1,45 м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Требование ТЗ п. 5.2.5 (2,5 м / 4 м) выполняется. В одночастотном режиме L1 с моделью ионосферы погрешность в плане 3,5…7,3 м (95 %).</w:t>
      </w:r>
    </w:p>
    <w:p>
      <w:pPr>
        <w:pStyle w:val="EskdText"/>
      </w:pPr>
      <w:r>
        <w:t xml:space="preserve">5.4.2 Бюджет погрешности 1PPS (1σ): 4,3 нс без коррекции дискретности и 3,1 нс с поправкой qErr (ТЗ п. 5.2.8: 5 и 4 нс). Основные составляющие — дискретность 96 МГц (3,0 нс) и калибровка задержки тракта (2,0 нс).</w:t>
      </w:r>
    </w:p>
    <w:p>
      <w:pPr>
        <w:pStyle w:val="EskdText"/>
      </w:pPr>
      <w:r>
        <w:t xml:space="preserve">5.4.3 Сквозная проверка «ПЧ → координаты и 1PPS» (</w:t>
      </w:r>
      <w:r>
        <w:rPr>
          <w:rFonts w:ascii="Courier New" w:hAnsi="Courier New" w:cs="Courier New" w:eastAsia="Courier New"/>
        </w:rPr>
        <w:t xml:space="preserve">sw/fw/tests/test_rx_pvt.c</w:t>
      </w:r>
      <w:r>
        <w:t xml:space="preserve">) проходит через модель ПЛИС и всё ПО МК: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по снимкам, слежение, декодирование LNAV из сигнала;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псевдодальности по фазе кода из NCO, сглаживание по фазе несущей, навигационное решение с поправкой TGD, 1PPS.</w:t>
      </w:r>
    </w:p>
    <w:p>
      <w:pPr>
        <w:pStyle w:val="EskdText"/>
      </w:pPr>
      <w:r>
        <w:t xml:space="preserve">Имитатор — 10 КА GPS по реальным эфемеридам, уход ТКГ +0,3 ppm, C/N0 45 дБГц. Результат по шести решениям (первое — через 21 с после начала, по 5 КА, затем по 10 КА):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координат 0,20…0,58 м (в имитаторе нет атмосферы);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шкалы времени не более 1,1 нс;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1PPS без поправки qErr: СКО 3,6 нс (максимум 5,8 нс);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1PPS с поправкой qErr: СКО 1,2 нс (максимум 2,6 нс).</w:t>
      </w:r>
    </w:p>
    <w:p>
      <w:pPr>
        <w:pStyle w:val="EskdText"/>
      </w:pPr>
      <w:r>
        <w:t xml:space="preserve">Ошибка 1PPS без поправки определяется дискретностью 96 МГц (равномерное распределение, СКО 3,0 нс), с поправкой qErr — шумом оценки часов. До введения сглаживания по фазе ошибка координат по одной эпохе составляла 1,5…5,8 м, 1PPS с qErr — СКО 8,8 нс.</w:t>
      </w:r>
    </w:p>
    <w:p>
      <w:pPr>
        <w:pStyle w:val="EskdText"/>
      </w:pPr>
      <w:r>
        <w:t xml:space="preserve">Сквозная проверка GPS + ГЛОНАСС (</w:t>
      </w:r>
      <w:r>
        <w:rPr>
          <w:rFonts w:ascii="Courier New" w:hAnsi="Courier New" w:cs="Courier New" w:eastAsia="Courier New"/>
        </w:rPr>
        <w:t xml:space="preserve">sw/fw/tests/test_rx_glo.c</w:t>
      </w:r>
      <w:r>
        <w:t xml:space="preserve">). Условия: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10 КА GPS (ВЧ-канал 0) и 8 КА ГЛОНАСС (ВЧ-канал 1, литеры −7…+6);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строки ГЛОНАСС сформированы по эфемеридам RINEX.</w:t>
      </w:r>
    </w:p>
    <w:p>
      <w:pPr>
        <w:pStyle w:val="EskdText"/>
      </w:pPr>
      <w:r>
        <w:t xml:space="preserve">Результат: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— все 18 КА, литеры определены верно;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эфемериды ГЛОНАСС декодированы из строк 1–4;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решение с раздельными шкалами систем — до 18 КА (8 ГЛОНАСС), PDOP 1,23;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координат не более 0,40 м, 1PPS с qErr — не более 1,5 нс (при весах только по углу места было 1,6 м и 4,2 нс: код G1 с чипом 587 м вдвое шумнее L1 C/A);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оценка расхождения шкал ГЛОНАСС и GPS — в пределах ±10 нс (в имитаторе — 0).</w:t>
      </w:r>
    </w:p>
    <w:p>
      <w:pPr>
        <w:pStyle w:val="EskdText"/>
      </w:pPr>
      <w:r>
        <w:t xml:space="preserve">При отладке этого теста найдена и устранена ошибка в «зеркале» NCO ПО МК. При переносе состояния назад во времени остаток беззнакового произведения по модулю L·2</w:t>
      </w:r>
      <w:r>
        <w:rPr>
          <w:vertAlign w:val="superscript"/>
        </w:rPr>
        <w:t xml:space="preserve">32</w:t>
      </w:r>
      <w:r>
        <w:t xml:space="preserve"> давал сдвиг ровно на 4 чипа (2</w:t>
      </w:r>
      <w:r>
        <w:rPr>
          <w:vertAlign w:val="superscript"/>
        </w:rPr>
        <w:t xml:space="preserve">64</w:t>
      </w:r>
      <w:r>
        <w:t xml:space="preserve"> mod 1023·2</w:t>
      </w:r>
      <w:r>
        <w:rPr>
          <w:vertAlign w:val="superscript"/>
        </w:rPr>
        <w:t xml:space="preserve">32</w:t>
      </w:r>
      <w:r>
        <w:t xml:space="preserve">). Сдвиг был разным у разных каналов и приводил к ошибке координат около 1,2 км.</w:t>
      </w:r>
    </w:p>
    <w:p>
      <w:pPr>
        <w:pStyle w:val="EskdText"/>
      </w:pPr>
      <w:r>
        <w:t xml:space="preserve">5.4.4 Сквозная проверка двухчастотного режима GPS L1 C/A + L2C (</w:t>
      </w:r>
      <w:r>
        <w:rPr>
          <w:rFonts w:ascii="Courier New" w:hAnsi="Courier New" w:cs="Courier New" w:eastAsia="Courier New"/>
        </w:rPr>
        <w:t xml:space="preserve">sw/fw/tests/test_rx_dual.c</w:t>
      </w:r>
      <w:r>
        <w:t xml:space="preserve">). Условия: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10 КА GPS, L1 C/A 45 дБГц (ВЧ-канал 0), L2C 43,5 дБГц (ВЧ-канал 2): CM с данными (50 символов/с) и CL во временном уплотнении;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ионосфера — однослойная модель (350 км), ВПЭС 50 TECU с горизонтальным градиентом ±30 %: наклонная задержка на L1 7…25 м, на L2 — в γ = 1,647 раза больше;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групповые задержки КА — по TGD из эфемерид (Δt − TGD на L1, Δt − γ·TGD на L2);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уход ТКГ +0,3 ppm; параметры Клобучара не передаются, поэтому одночастотное решение ионосферу не учитывает.</w:t>
      </w:r>
    </w:p>
    <w:p>
      <w:pPr>
        <w:pStyle w:val="EskdText"/>
      </w:pPr>
      <w:r>
        <w:t xml:space="preserve">Каналы L2CM пускаются по каналам L1 без поиска после привязки времени излучения (9 с от начала) и все 10 входят в захват к 16 с. C/N0 по CM — 36…38 дБГц.</w:t>
      </w:r>
    </w:p>
    <w:p>
      <w:pPr>
        <w:pStyle w:val="EskdText"/>
      </w:pPr>
      <w:r>
        <w:t xml:space="preserve">Результат по семи решениям (первое — по 5 КА, PDOP 4,1; остальные — по 10 КА, PDOP 2,0):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6072"/>
        <w:gridCol w:w="2566"/>
        <w:gridCol w:w="1283"/>
      </w:tblGrid>
      <w:tr>
        <w:trPr>
          <w:cantSplit/>
          <w:tblHeader/>
        </w:trPr>
        <w:tc>
          <w:tcPr>
            <w:tcW w:w="60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Решение</w:t>
            </w:r>
          </w:p>
        </w:tc>
        <w:tc>
          <w:tcPr>
            <w:tcW w:w="256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Ошибка координат (среднее)</w:t>
            </w:r>
          </w:p>
        </w:tc>
        <w:tc>
          <w:tcPr>
            <w:tcW w:w="128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10 КА</w:t>
            </w:r>
          </w:p>
        </w:tc>
      </w:tr>
      <w:tr>
        <w:trPr>
          <w:cantSplit/>
        </w:trPr>
        <w:tc>
          <w:tcPr>
            <w:tcW w:w="60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двухчастотное, ионосферно-свободная комбинация, сглаживание по фазе</w:t>
            </w:r>
          </w:p>
        </w:tc>
        <w:tc>
          <w:tcPr>
            <w:tcW w:w="256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1,6 м</w:t>
            </w:r>
          </w:p>
        </w:tc>
        <w:tc>
          <w:tcPr>
            <w:tcW w:w="128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0,7…1,5 м</w:t>
            </w:r>
          </w:p>
        </w:tc>
      </w:tr>
      <w:tr>
        <w:trPr>
          <w:cantSplit/>
        </w:trPr>
        <w:tc>
          <w:tcPr>
            <w:tcW w:w="60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только L1 C/A</w:t>
            </w:r>
          </w:p>
        </w:tc>
        <w:tc>
          <w:tcPr>
            <w:tcW w:w="256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11,0 м</w:t>
            </w:r>
          </w:p>
        </w:tc>
        <w:tc>
          <w:tcPr>
            <w:tcW w:w="128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11,1…11,8 м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Наклонная ионосферная задержка по (P2 − P1)/(γ − 1) − c·TGD оценивается с СКО 0,95 м.</w:t>
      </w:r>
    </w:p>
    <w:p>
      <w:pPr>
        <w:pStyle w:val="EskdText"/>
      </w:pPr>
      <w:r>
        <w:t xml:space="preserve">Без сглаживания по фазе ошибка ионосферно-свободного решения составляет 8 м (в среднем): комбинация 2,55·P1 − 1,55·P2 утраивает шум кода. Поэтому сглаживание включено по умолчанию (окно 100 с, ТЗ п. 5.2.5).</w:t>
      </w:r>
    </w:p>
    <w:p>
      <w:pPr>
        <w:pStyle w:val="EskdText"/>
      </w:pPr>
      <w:r>
        <w:t xml:space="preserve">При отладке теста найдены и устранены ошибки: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ССЗ для L2C.</w:t>
      </w:r>
      <w:r>
        <w:t xml:space="preserve"> Копия CM с временным уплотнением даёт вдвое более узкий пик корреляции. Отводы E/L ±0,5 чипа попадали на его нули; теперь смещение ±0,25 чипа и коэффициент дискриминатора рассчитан на полуширину пика 0,5 чипа.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Пуск каналов.</w:t>
      </w:r>
      <w:r>
        <w:t xml:space="preserve"> У движка один регистр пуска, и пуск на другой отсчёт отменял ожидающий: первый канал L2 не запускался. Теперь такой пуск откладывается.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Втягивание при периоде 20 мс.</w:t>
      </w:r>
      <w:r>
        <w:t xml:space="preserve"> Начальная ЧАП с четырёхкратной полосой была неустойчива (K·T = 2,4). Теперь полосы петель ограничены условием Bn·T ≤ 0,1 (K·T ≤ 0,4 на начальном этапе), а доплер L2 задаётся по сглаженной частоте L1.</w:t>
      </w:r>
    </w:p>
    <w:p>
      <w:pPr>
        <w:pStyle w:val="EskdText"/>
      </w:pPr>
      <w:r>
        <w:t xml:space="preserve">5.4.5 Сквозная проверка GPS + Galileo + BeiDou (</w:t>
      </w:r>
      <w:r>
        <w:rPr>
          <w:rFonts w:ascii="Courier New" w:hAnsi="Courier New" w:cs="Courier New" w:eastAsia="Courier New"/>
        </w:rPr>
        <w:t xml:space="preserve">sw/fw/tests/test_rx_gb.c</w:t>
      </w:r>
      <w:r>
        <w:t xml:space="preserve">). Условия: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7 КА GPS (L1 C/A), 6 КА Galileo (E1-B с данными I/NAV и пилот E1-C с кодом CS25, BOC(1,1)) и 7 КА BeiDou MEO/IGSO (B1I: код NH20 и данные D1) в одном ВЧ-канале, C/N0 45 дБГц, уход ТКГ +0,3 ppm;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эфемериды и групповые задержки (TGD, BGD(E1, E5b), TGD1) — из RINEX; страницы I/NAV и подкадры D1 сформированы кодерами ПО МК; время КА Galileo — GST, BeiDou — BDT (GPST − 14 с).</w:t>
      </w:r>
    </w:p>
    <w:p>
      <w:pPr>
        <w:pStyle w:val="EskdText"/>
      </w:pPr>
      <w:r>
        <w:t xml:space="preserve">Результат: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— все 20 КА, слежение без срывов;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эфемериды Galileo и BeiDou декодированы из сигнала и совпадают с исходными (координаты — 0,000 м, часы — 0,000 нс); эфемериды Galileo — через 30 с от начала (цикл слов I/NAV), BeiDou — через 36 с (кадр D1);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решение по трём системам с раздельными шкалами — 20 КА, PDOP 1,64, ошибка координат 0,15…0,27 м, шкалы времени — не более 1,0 нс;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расхождение шкал Galileo и BeiDou с GPS оценивается с ошибкой не более 0,12 м (в имитаторе — 0);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решение только по Galileo (6 КА) — ошибка координат не более 0,56 м, только по BeiDou (7 КА) — не более 0,37 м, ошибка времени — не более 1,1 нс;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псевдодальностей — не более 0,84 м.</w:t>
      </w:r>
    </w:p>
    <w:p>
      <w:pPr>
        <w:pStyle w:val="EskdText"/>
      </w:pPr>
      <w:r>
        <w:t xml:space="preserve">При отладке теста найдены и устранены ошибки: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Уточнение доплера при захвате.</w:t>
      </w:r>
      <w:r>
        <w:t xml:space="preserve"> Блок прямой корреляции содержал эпоху кода, на которой меняется знак (символ E1-B — каждые 4 мс, код NH B1I — каждую 1 мс), и пик по доплеру расщеплялся. Ошибка доплера выходила за полосу втягивания ЧАП ±1/(4T) (±62,5 Гц для E1-B, ±250 Гц для B1I), и петля Костаса захватывалась со сдвигом 1/(2T) (±125 Гц и ±500 Гц): потеря 4 дБ, знаки символов чередуются, синхронизации по сообщению нет. Теперь блок делится по эпохе кода, части складываются без учёта знака.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BGD Galileo.</w:t>
      </w:r>
      <w:r>
        <w:t xml:space="preserve"> Эфемериды выдавались по словам 1–4, если неделя уже известна из слова 0, до прихода слова 5 — без BGD (ошибка часов до 4 нс). Теперь эфемериды выдаются после слова 5. При чтении RINEX BGD выбирается по источнику данных записи (I/NAV — E5b/E1, F/NAV — E5a/E1).</w:t>
      </w:r>
    </w:p>
    <w:p>
      <w:pPr>
        <w:pStyle w:val="EskdText"/>
      </w:pPr>
      <w:r>
        <w:t xml:space="preserve">5.4.6 Сквозная проверка четырёх двухчастотных пар (</w:t>
      </w:r>
      <w:r>
        <w:rPr>
          <w:rFonts w:ascii="Courier New" w:hAnsi="Courier New" w:cs="Courier New" w:eastAsia="Courier New"/>
        </w:rPr>
        <w:t xml:space="preserve">sw/fw/tests/test_rx_dual2.c</w:t>
      </w:r>
      <w:r>
        <w:t xml:space="preserve">). Условия: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 5 КА каждой системы (угол места более 15°), эфемериды — из RINEX;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пары и ВЧ-каналы: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5394"/>
        <w:gridCol w:w="1252"/>
        <w:gridCol w:w="2408"/>
        <w:gridCol w:w="867"/>
      </w:tblGrid>
      <w:tr>
        <w:trPr>
          <w:cantSplit/>
          <w:tblHeader/>
        </w:trPr>
        <w:tc>
          <w:tcPr>
            <w:tcW w:w="539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Пара</w:t>
            </w:r>
          </w:p>
        </w:tc>
        <w:tc>
          <w:tcPr>
            <w:tcW w:w="125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ВЧ-каналы</w:t>
            </w:r>
          </w:p>
        </w:tc>
        <w:tc>
          <w:tcPr>
            <w:tcW w:w="24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C/N0 второй частоты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γ</w:t>
            </w:r>
          </w:p>
        </w:tc>
      </w:tr>
      <w:tr>
        <w:trPr>
          <w:cantSplit/>
        </w:trPr>
        <w:tc>
          <w:tcPr>
            <w:tcW w:w="539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 L1 C/A + L5 (I5 и пилот Q5 с кодом NH20)</w:t>
            </w:r>
          </w:p>
        </w:tc>
        <w:tc>
          <w:tcPr>
            <w:tcW w:w="125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 и 4</w:t>
            </w:r>
          </w:p>
        </w:tc>
        <w:tc>
          <w:tcPr>
            <w:tcW w:w="24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42 дБГц на I5 и Q5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1,793</w:t>
            </w:r>
          </w:p>
        </w:tc>
      </w:tr>
      <w:tr>
        <w:trPr>
          <w:cantSplit/>
        </w:trPr>
        <w:tc>
          <w:tcPr>
            <w:tcW w:w="539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ГЛОНАСС G1 + G2 (код C/A, те же строки)</w:t>
            </w:r>
          </w:p>
        </w:tc>
        <w:tc>
          <w:tcPr>
            <w:tcW w:w="125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и 3</w:t>
            </w:r>
          </w:p>
        </w:tc>
        <w:tc>
          <w:tcPr>
            <w:tcW w:w="24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43 дБГц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1,653</w:t>
            </w:r>
          </w:p>
        </w:tc>
      </w:tr>
      <w:tr>
        <w:trPr>
          <w:cantSplit/>
        </w:trPr>
        <w:tc>
          <w:tcPr>
            <w:tcW w:w="539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Galileo E1 + E5a (E5a-I и пилот E5a-Q с кодом CS100)</w:t>
            </w:r>
          </w:p>
        </w:tc>
        <w:tc>
          <w:tcPr>
            <w:tcW w:w="125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 и 4</w:t>
            </w:r>
          </w:p>
        </w:tc>
        <w:tc>
          <w:tcPr>
            <w:tcW w:w="24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42 дБГц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1,793</w:t>
            </w:r>
          </w:p>
        </w:tc>
      </w:tr>
      <w:tr>
        <w:trPr>
          <w:cantSplit/>
        </w:trPr>
        <w:tc>
          <w:tcPr>
            <w:tcW w:w="539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BeiDou B1I + B3I (NH20 и данные D1)</w:t>
            </w:r>
          </w:p>
        </w:tc>
        <w:tc>
          <w:tcPr>
            <w:tcW w:w="125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 и 6</w:t>
            </w:r>
          </w:p>
        </w:tc>
        <w:tc>
          <w:tcPr>
            <w:tcW w:w="24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45 дБГц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1,514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  <w:ind w:left="964" w:hanging="255"/>
      </w:pPr>
      <w:r>
        <w:t xml:space="preserve">–</w:t>
        <w:tab/>
      </w:r>
      <w:r>
        <w:t xml:space="preserve">первые частоты — 45 дБГц;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ионосфера — однослойная модель, ВПЭС 50 TECU с градиентом ±30 %: наклонная задержка на первой частоте 5,6…15,8 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групповые задержки КА — TGD, BGD(E1, E5b) и BGD(E1, E5a), TGD1; Δτn ГЛОНАСС (±5,6 нс) задаётся в имитаторе и передаётся в строке 4;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шкалы GST, BDT и ГЛОНАСС совмещены с GPST, уход ТКГ +0,3 ppm, 42 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параметры Клобучара заданы в приёмнике до начала.</w:t>
      </w:r>
    </w:p>
    <w:p>
      <w:pPr>
        <w:pStyle w:val="EskdText"/>
      </w:pPr>
      <w:r>
        <w:t xml:space="preserve">Каналы вторых частот пускаются по каналам первых без поиска. Начальная фаза кода поправляется на разность ионосферных задержек по модели Клобучара, вторичный код синхронизируется с первой частотой.</w:t>
      </w:r>
    </w:p>
    <w:p>
      <w:pPr>
        <w:pStyle w:val="EskdText"/>
      </w:pPr>
      <w:r>
        <w:t xml:space="preserve">Результат (21 решение, из них 6 — по комбинации на всех 20 КА, PDOP 1,67):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 захвате все 40 каналов, эфемериды всех 20 КА декодированы из сигнала;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C/N0 по вторым частотам 40…44 дБГц;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координат: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5560"/>
        <w:gridCol w:w="3053"/>
        <w:gridCol w:w="1308"/>
      </w:tblGrid>
      <w:tr>
        <w:trPr>
          <w:cantSplit/>
          <w:tblHeader/>
        </w:trPr>
        <w:tc>
          <w:tcPr>
            <w:tcW w:w="55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Решение</w:t>
            </w:r>
          </w:p>
        </w:tc>
        <w:tc>
          <w:tcPr>
            <w:tcW w:w="30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Средняя ошибка координат</w:t>
            </w:r>
          </w:p>
        </w:tc>
        <w:tc>
          <w:tcPr>
            <w:tcW w:w="13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Максимум</w:t>
            </w:r>
          </w:p>
        </w:tc>
      </w:tr>
      <w:tr>
        <w:trPr>
          <w:cantSplit/>
        </w:trPr>
        <w:tc>
          <w:tcPr>
            <w:tcW w:w="55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двухчастотное (ионосферно-свободная комбинация)</w:t>
            </w:r>
          </w:p>
        </w:tc>
        <w:tc>
          <w:tcPr>
            <w:tcW w:w="30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0,52 м</w:t>
            </w:r>
          </w:p>
        </w:tc>
        <w:tc>
          <w:tcPr>
            <w:tcW w:w="13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0,61 м</w:t>
            </w:r>
          </w:p>
        </w:tc>
      </w:tr>
      <w:tr>
        <w:trPr>
          <w:cantSplit/>
        </w:trPr>
        <w:tc>
          <w:tcPr>
            <w:tcW w:w="55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только первые частоты (модель Клобучара)</w:t>
            </w:r>
          </w:p>
        </w:tc>
        <w:tc>
          <w:tcPr>
            <w:tcW w:w="30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8,7 м</w:t>
            </w:r>
          </w:p>
        </w:tc>
        <w:tc>
          <w:tcPr>
            <w:tcW w:w="13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шкалы времени — не более 1,6 нс;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расхождение шкал с GPS оценивается с ошибкой: Galileo — 0,38 м, BeiDou — 0,19 м, ГЛОНАСС — 3,1 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ионосферная задержка по (P2 − P1)/(γ − 1) с поправкой на групповые задержки оценивается с СКО 0,34 м по L5, E5a и B3I и 3,05 м по G2 (шум кода с чипом 587 м);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поправка часов КА на групповую задержку комбинации верна для всех КА;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решения по одной системе (5 КА) — ошибка последнего решения от 0,7 м (Galileo) до 6,3 м (ГЛОНАСС);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канал L5 перезапущен после первых решений (имитация срыва). Начальная ошибка фазы кода +0,345 чипа соответствует расчётной по модели Клобучара (+0,367; без поправки было бы +0,429), захват восстановлен через 0,20 с.</w:t>
      </w:r>
    </w:p>
    <w:p>
      <w:pPr>
        <w:pStyle w:val="EskdText"/>
      </w:pPr>
      <w:r>
        <w:t xml:space="preserve">При отладке теста найдены и устранены недостатки: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Веса измерений.</w:t>
      </w:r>
      <w:r>
        <w:t xml:space="preserve"> При весах только по углу места решение после подключения ГЛОНАСС ухудшалось до 9…16 м. Комбинация G1 + G2 (чип 587 м на обеих частотах) по СКО в 2,5…8 раз шумнее пар с L5, E5a и B3I (чип второй частоты 29 м). Теперь вес учитывает шум кода по теории ССЗ (C/N0, смещение отводов, полоса петли, окно сглаживания) и ошибку модели ионосферы в одночастотном режиме (документ 05, п. 3.4.4). Ошибка решения по всем 20 КА снизилась до 0,5…0,6 м, в проверке GPS + ГЛОНАСС (5.4.3) — с 1,6 до 0,40 м.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Пропуск при поиске E1-B.</w:t>
      </w:r>
      <w:r>
        <w:t xml:space="preserve"> E1-B обнаруживается по половине периода кода 4 мс и при пороговом накоплении может быть пропущен (в прогоне — 1 КА из 5). Тест, как и периодический поиск в приёмнике, повторяет поиск по новым снимкам; пропущенный КА обнаружен со второй попытки.</w:t>
      </w:r>
    </w:p>
    <w:p>
      <w:pPr>
        <w:pStyle w:val="Heading2"/>
      </w:pPr>
      <w:r>
        <w:t xml:space="preserve">5.5 Помехоустойчивость</w:t>
      </w:r>
    </w:p>
    <w:p>
      <w:pPr>
        <w:pStyle w:val="EskdText"/>
      </w:pPr>
      <w:r>
        <w:t xml:space="preserve">5.5.1 Обнаружение узкополосных помех (ТЗ п. 5.2.11) выполняет ПО МК по снимку канала. Применяется спектр Уэлча (1024 точки) с порогом 6 дБ над медианой. Частота уточняется максимумом ДПФ по всему снимку, погрешность единицы герц (</w:t>
      </w:r>
      <w:r>
        <w:rPr>
          <w:rFonts w:ascii="Courier New" w:hAnsi="Courier New" w:cs="Courier New" w:eastAsia="Courier New"/>
        </w:rPr>
        <w:t xml:space="preserve">tests/test_spectrum.c</w:t>
      </w:r>
      <w:r>
        <w:t xml:space="preserve">). Порог обнаружения J/N ≈ −20 дБ.</w:t>
      </w:r>
    </w:p>
    <w:p>
      <w:pPr>
        <w:pStyle w:val="EskdText"/>
      </w:pPr>
      <w:r>
        <w:t xml:space="preserve">5.5.2 Эффективность режекторного фильтра (</w:t>
      </w:r>
      <w:r>
        <w:rPr>
          <w:rFonts w:ascii="Courier New" w:hAnsi="Courier New" w:cs="Courier New" w:eastAsia="Courier New"/>
        </w:rPr>
        <w:t xml:space="preserve">sim/notch_sim.py</w:t>
      </w:r>
      <w:r>
        <w:t xml:space="preserve">, битово-точная модель ПЛИС, </w:t>
      </w:r>
      <w:r>
        <w:rPr>
          <w:rFonts w:ascii="Courier New" w:hAnsi="Courier New" w:cs="Courier New" w:eastAsia="Courier New"/>
        </w:rPr>
        <w:t xml:space="preserve">sim/out/notch.md</w:t>
      </w:r>
      <w:r>
        <w:t xml:space="preserve">). Условия: сигнал L1 C/A 45 дБГц, помеха вблизи спектральной линии кода — наихудший случай.</w:t>
      </w:r>
    </w:p>
    <w:p>
      <w:pPr>
        <w:pStyle w:val="EskdText"/>
        <w:keepNext/>
        <w:spacing w:before="80" w:after="40" w:line="282" w:lineRule="auto"/>
        <w:ind w:left="0" w:right="0" w:firstLine="0"/>
        <w:jc w:val="left"/>
      </w:pPr>
      <w:r>
        <w:t xml:space="preserve">Таблица 2 — C/N0 после коррелятора, дБГц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140"/>
        <w:gridCol w:w="2918"/>
        <w:gridCol w:w="4863"/>
      </w:tblGrid>
      <w:tr>
        <w:trPr>
          <w:cantSplit/>
          <w:tblHeader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J/S, дБ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Без фильтра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 фильтром (режим ПО)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39,5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44,1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35,4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42,7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30,7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42,6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25,7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43,2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20,8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42,1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16,1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40,2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45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10,2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34,2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4,1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34,5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Без фильтра слежение теряется при J/S ≈ 30 дБ. С фильтром C/N0 не ниже 34 дБГц до J/S 50 дБ. Требование ТЗ (не менее 25 дБ J/S без потери слежения) выполняется с запасом 25 дБ. Доля мощности гармоники в выходном потоке снижается на 20…30 дБ (при J/S 25…40 дБ). Ошибка установки частоты до 300 Гц снижает C/N0 не более чем на 0,4 дБ.</w:t>
      </w:r>
    </w:p>
    <w:p>
      <w:pPr>
        <w:pStyle w:val="Heading2"/>
      </w:pPr>
      <w:r>
        <w:t xml:space="preserve">5.6 Моделирование узлов схемы (ngspice)</w:t>
      </w:r>
    </w:p>
    <w:p>
      <w:pPr>
        <w:pStyle w:val="EskdText"/>
      </w:pPr>
      <w:r>
        <w:t xml:space="preserve">Результаты — </w:t>
      </w:r>
      <w:r>
        <w:rPr>
          <w:rFonts w:ascii="Courier New" w:hAnsi="Courier New" w:cs="Courier New" w:eastAsia="Courier New"/>
        </w:rPr>
        <w:t xml:space="preserve">sim/out/spice.md</w:t>
      </w:r>
      <w:r>
        <w:t xml:space="preserve">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403"/>
        <w:gridCol w:w="7518"/>
      </w:tblGrid>
      <w:tr>
        <w:trPr>
          <w:cantSplit/>
          <w:tblHeader/>
        </w:trPr>
        <w:tc>
          <w:tcPr>
            <w:tcW w:w="240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Узел</w:t>
            </w:r>
          </w:p>
        </w:tc>
        <w:tc>
          <w:tcPr>
            <w:tcW w:w="75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w="240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Питание антенны</w:t>
            </w:r>
          </w:p>
        </w:tc>
        <w:tc>
          <w:tcPr>
            <w:tcW w:w="75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4,85 В при 30 мА; при КЗ ток ограничен 1,22 А, отключение через 4,8 мкс</w:t>
            </w:r>
          </w:p>
        </w:tc>
      </w:tr>
      <w:tr>
        <w:trPr>
          <w:cantSplit/>
        </w:trPr>
        <w:tc>
          <w:tcPr>
            <w:tcW w:w="240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Выход 1PPS</w:t>
            </w:r>
          </w:p>
        </w:tc>
        <w:tc>
          <w:tcPr>
            <w:tcW w:w="75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1,68 В на 50 Ом, 3,30 В на высокоомной нагрузке; выброс 2,3 %; задержка 10,6 нс (калибруется)</w:t>
            </w:r>
          </w:p>
        </w:tc>
      </w:tr>
      <w:tr>
        <w:trPr>
          <w:cantSplit/>
        </w:trPr>
        <w:tc>
          <w:tcPr>
            <w:tcW w:w="240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Вход опоры 10 МГц</w:t>
            </w:r>
          </w:p>
        </w:tc>
        <w:tc>
          <w:tcPr>
            <w:tcW w:w="75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формирование компаратором TLV3501 без пропусков при 0 дБм</w:t>
            </w:r>
          </w:p>
        </w:tc>
      </w:tr>
      <w:tr>
        <w:trPr>
          <w:cantSplit/>
        </w:trPr>
        <w:tc>
          <w:tcPr>
            <w:tcW w:w="240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Тройник питания на ВЧ-входе</w:t>
            </w:r>
          </w:p>
        </w:tc>
        <w:tc>
          <w:tcPr>
            <w:tcW w:w="75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потери 0,03 дБ, возвратные потери более 36 дБ в полосах ГНСС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Heading2"/>
      </w:pPr>
      <w:r>
        <w:t xml:space="preserve">5.7 Потребляемая мощность и тепловой режим</w:t>
      </w:r>
    </w:p>
    <w:p>
      <w:pPr>
        <w:pStyle w:val="EskdText"/>
      </w:pPr>
      <w:r>
        <w:t xml:space="preserve">5.7.1 Расчёт — </w:t>
      </w:r>
      <w:r>
        <w:rPr>
          <w:rFonts w:ascii="Courier New" w:hAnsi="Courier New" w:cs="Courier New" w:eastAsia="Courier New"/>
        </w:rPr>
        <w:t xml:space="preserve">sim/power_budget.py</w:t>
      </w:r>
      <w:r>
        <w:t xml:space="preserve">, результаты — </w:t>
      </w:r>
      <w:r>
        <w:rPr>
          <w:rFonts w:ascii="Courier New" w:hAnsi="Courier New" w:cs="Courier New" w:eastAsia="Courier New"/>
        </w:rPr>
        <w:t xml:space="preserve">sim/out/power.md</w:t>
      </w:r>
      <w:r>
        <w:t xml:space="preserve">. Мощность от источника 5 В: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2,75 Вт — в навигационном режиме;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3,29 Вт — при выдаче отсчётов по USB 3.0.</w:t>
      </w:r>
    </w:p>
    <w:p>
      <w:pPr>
        <w:pStyle w:val="EskdText"/>
      </w:pPr>
      <w:r>
        <w:t xml:space="preserve">Требование ТЗ — не более 3,5 Вт. Чтобы уложиться в него, ядро 1,2 В FX3 питается от импульсного стабилизатора, а не от линейного (в первой версии схемы было 4,03 Вт).</w:t>
      </w:r>
    </w:p>
    <w:p>
      <w:pPr>
        <w:pStyle w:val="EskdText"/>
      </w:pPr>
      <w:r>
        <w:t xml:space="preserve">5.7.2 Тепловой режим при +85 °С: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827"/>
        <w:gridCol w:w="2630"/>
        <w:gridCol w:w="6464"/>
      </w:tblGrid>
      <w:tr>
        <w:trPr>
          <w:cantSplit/>
          <w:tblHeader/>
        </w:trPr>
        <w:tc>
          <w:tcPr>
            <w:tcW w:w="82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Элемент</w:t>
            </w:r>
          </w:p>
        </w:tc>
        <w:tc>
          <w:tcPr>
            <w:tcW w:w="263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Проблема</w:t>
            </w:r>
          </w:p>
        </w:tc>
        <w:tc>
          <w:tcPr>
            <w:tcW w:w="646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Мера</w:t>
            </w:r>
          </w:p>
        </w:tc>
      </w:tr>
      <w:tr>
        <w:trPr>
          <w:cantSplit/>
        </w:trPr>
        <w:tc>
          <w:tcPr>
            <w:tcW w:w="82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МК</w:t>
            </w:r>
          </w:p>
        </w:tc>
        <w:tc>
          <w:tcPr>
            <w:tcW w:w="263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при 480 МГц Tj превышает 105 °С</w:t>
            </w:r>
          </w:p>
        </w:tc>
        <w:tc>
          <w:tcPr>
            <w:tcW w:w="646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снижает частоту ядра до 400 МГц при температуре платы выше +70 °С (Tj ≤ 103 °С)</w:t>
            </w:r>
          </w:p>
        </w:tc>
      </w:tr>
      <w:tr>
        <w:trPr>
          <w:cantSplit/>
        </w:trPr>
        <w:tc>
          <w:tcPr>
            <w:tcW w:w="82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ПЛИС</w:t>
            </w:r>
          </w:p>
        </w:tc>
        <w:tc>
          <w:tcPr>
            <w:tcW w:w="263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запас всего 3 °С</w:t>
            </w:r>
          </w:p>
        </w:tc>
        <w:tc>
          <w:tcPr>
            <w:tcW w:w="646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теплопроводящая прокладка на крышку (θJA ≈ 9 °С/Вт, Tj ≈ 91 °С)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Heading2"/>
      </w:pPr>
      <w:r>
        <w:t xml:space="preserve">5.8 Надёжность</w:t>
      </w:r>
    </w:p>
    <w:p>
      <w:pPr>
        <w:pStyle w:val="EskdText"/>
      </w:pPr>
      <w:r>
        <w:t xml:space="preserve">Расчёт методом подсчёта элементов (</w:t>
      </w:r>
      <w:r>
        <w:rPr>
          <w:rFonts w:ascii="Courier New" w:hAnsi="Courier New" w:cs="Courier New" w:eastAsia="Courier New"/>
        </w:rPr>
        <w:t xml:space="preserve">sim/reliability.py</w:t>
      </w:r>
      <w:r>
        <w:t xml:space="preserve">, 416 элементов, включая печатную плату и паяные соединения):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суммарная интенсивность отказов 2,61·10</w:t>
      </w:r>
      <w:r>
        <w:rPr>
          <w:vertAlign w:val="superscript"/>
        </w:rPr>
        <w:t xml:space="preserve">−6</w:t>
      </w:r>
      <w:r>
        <w:t xml:space="preserve"> 1/ч;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наработка на отказ 383 000 ч, на борту БАС (K_э = 2,5) — 153 000 ч.</w:t>
      </w:r>
    </w:p>
    <w:p>
      <w:pPr>
        <w:pStyle w:val="EskdText"/>
      </w:pPr>
      <w:r>
        <w:t xml:space="preserve">Требование ТЗ — 50 000 ч, запас 3,1 раза. Вероятность безотказной работы за 1000 ч полёта — 0,9935.</w:t>
      </w:r>
    </w:p>
    <w:p>
      <w:pPr>
        <w:pStyle w:val="Heading1"/>
      </w:pPr>
      <w:r>
        <w:t xml:space="preserve">6 Проверка конфигурации ПЛИС и ПО</w:t>
      </w:r>
    </w:p>
    <w:p>
      <w:pPr>
        <w:pStyle w:val="Heading2"/>
      </w:pPr>
      <w:r>
        <w:t xml:space="preserve">6.1 Цепочка верификации</w:t>
      </w:r>
    </w:p>
    <w:p>
      <w:pPr>
        <w:pStyle w:val="EskdText"/>
      </w:pPr>
      <w:r>
        <w:t xml:space="preserve">6.1.1 Для каждого вычислительного блока ПЛИС есть битово-точная модель на Python (</w:t>
      </w:r>
      <w:r>
        <w:rPr>
          <w:rFonts w:ascii="Courier New" w:hAnsi="Courier New" w:cs="Courier New" w:eastAsia="Courier New"/>
        </w:rPr>
        <w:t xml:space="preserve">fpga/model</w:t>
      </w:r>
      <w:r>
        <w:t xml:space="preserve">) и модель на C (</w:t>
      </w:r>
      <w:r>
        <w:rPr>
          <w:rFonts w:ascii="Courier New" w:hAnsi="Courier New" w:cs="Courier New" w:eastAsia="Courier New"/>
        </w:rPr>
        <w:t xml:space="preserve">sw/fw/src/corr_sim.c</w:t>
      </w:r>
      <w:r>
        <w:t xml:space="preserve">). Тесты RTL (Icarus Verilog) сравнивают выход с моделью отсчёт в отсчёт: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коррелятор: 16 каналов, BOC и TDM, смена шагов, пуск по времени;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режекторный фильтр: 8 каналов с разными частотами, μ и дизерингом;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система целиком через модель шины FMC: корреляторы (в том числе на ВЧ-канале с включённым режекторным фильтром), SPI, 1PPS, EXTINT, снимок, поток FX3.</w:t>
      </w:r>
    </w:p>
    <w:p>
      <w:pPr>
        <w:pStyle w:val="EskdText"/>
      </w:pPr>
      <w:r>
        <w:t xml:space="preserve">ПО МК в тестах работает с C-моделью ПЛИС через те же регистры, поэтому сквозные тесты проверяют и протокол обмена ПЛИС–МК.</w:t>
      </w:r>
    </w:p>
    <w:p>
      <w:pPr>
        <w:pStyle w:val="EskdText"/>
        <w:keepNext/>
        <w:spacing w:before="80" w:after="40" w:line="282" w:lineRule="auto"/>
        <w:ind w:left="0" w:right="0" w:firstLine="0"/>
        <w:jc w:val="left"/>
      </w:pPr>
      <w:r>
        <w:t xml:space="preserve">Таблица 3 — Результаты проверок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149"/>
        <w:gridCol w:w="1400"/>
        <w:gridCol w:w="6372"/>
      </w:tblGrid>
      <w:tr>
        <w:trPr>
          <w:cantSplit/>
          <w:tblHeader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Проверка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Средство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Движок коррелятора, RTL ≡ модель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make -C fpga sim-engine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55 сбросов, совпадение полное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Режекторный фильтр, RTL ≡ модель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make -C fpga sim-notch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6000 отсчётов × 8 каналов, совпадение полное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Система (FMC, SPI, 1PPS, EXTINT, снимок, FX3, режекторный фильтр)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make -C fpga sim-sys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все проверки пройдены; корреляторы канала с фильтром совпадают с цепочкой моделей «фильтр → коррелятор»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C-модель ПЛИС ≡ модель Python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test_corr_sim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совпадение полное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Коды всех сигналов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test_codes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совпадение с эталонами ИКД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Навигационное решение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test_pvt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эталонные векторы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LNAV: кодирование и декодирование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test_lnav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эфемериды восстанавливаются точно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Спектральный контроль и настройка фильтра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test_spectrum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обнаружение, частота с погрешностью &lt; 2 Гц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NMEA, RTCM, двоичный протокол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test_output</w:t>
            </w:r>
            <w:r>
              <w:rPr>
                <w:sz w:val="18"/>
                <w:szCs w:val="18"/>
              </w:rPr>
              <w:t xml:space="preserve"> + pynmeagps, pyrtcm, декодер на struct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разбор независимыми декодерами без ошибок; повреждённый кадр отбрасывается по CRC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Захват слабых сигналов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test_acq_weak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 дБГц обнаружен, ложных обнаружений нет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Слежение за слабыми сигналами, повторный захват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test_trk_weak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L1 C/A 24 дБГц, E1C 21 дБГц — захват сохраняется; после перерыва 30 с захват восстановлен через 0,20 с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«ПЧ → слежение»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test_rx_l1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пройден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«ПЧ → координаты, 1PPS»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test_rx_pvt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координаты ≤ 0,58 м, 1PPS с qErr — СКО 1,2 нс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Навигационное сообщение ГЛОНАСС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test_glonav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 КА: эфемериды и время строк восстанавливаются точно; одиночные ошибки обнаруживаются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Навигационное сообщение Galileo I/NAV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test_inav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эфемериды, BGD и привязка ко времени восстанавливаются точно при Es/N0 0 дБ и любой полярности; CRC-24Q сверена с независимой реализацией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Навигационное сообщение BeiDou D1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test_bdsnav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BCH(15,11) сверен с регистровым кодером; эфемериды, ионосфера и привязка ко времени восстанавливаются точно при одиночных ошибках в словах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двухчастотный GPS L1 C/A + L2C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test_rx_dual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 КА, все каналы L2CM в захвате; ионосферно-свободное решение 0,7…1,5 м (только по L1 — 11 м); ионосферная задержка — СКО 0,95 м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GPS + ГЛОНАСС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test_rx_glo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 КА (8 ГЛОНАСС), координаты ≤ 0,40 м, 1PPS ≤ 1,5 нс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GPS + Galileo + BeiDou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test_rx_gb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 КА (6 Galileo, 7 BeiDou), эфемериды I/NAV и D1 точно; координаты по трём системам 0,15…0,27 м, только Galileo ≤ 0,56 м, только BeiDou ≤ 0,37 м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двухчастотный по четырём системам (L1 + L5, G1 + G2, E1 + E5a, B1I + B3I)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test_rx_dual2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 КА, все 40 каналов в захвате; ионосферно-свободное решение 0,52 м в среднем (≤ 0,61 м; по первым частотам — 8,7 м), время ≤ 1,6 нс; ионосферная задержка — СКО 0,34 м (G2 — 3,05 м); перезапуск L5 с поправкой по модели Клобучара — захват через 0,20 с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Динамика 4g, рывок 2g/с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test_trk_dyn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ФАП 3-го порядка — без срывов, фаза 8° СКО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Heading2"/>
      </w:pPr>
      <w:r>
        <w:t xml:space="preserve">6.2 Ресурсы и быстродействие ПЛИС</w:t>
      </w:r>
    </w:p>
    <w:p>
      <w:pPr>
        <w:pStyle w:val="EskdText"/>
      </w:pPr>
      <w:r>
        <w:t xml:space="preserve">6.2.1 Конфигурация собирается открытыми средствами (</w:t>
      </w:r>
      <w:r>
        <w:rPr>
          <w:rFonts w:ascii="Courier New" w:hAnsi="Courier New" w:cs="Courier New" w:eastAsia="Courier New"/>
        </w:rPr>
        <w:t xml:space="preserve">make -C fpga syn</w:t>
      </w:r>
      <w:r>
        <w:t xml:space="preserve">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синтез — Yosys;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размещение и трассировка — nextpnr-ecp5;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упаковка — ecppack.</w:t>
      </w:r>
    </w:p>
    <w:p>
      <w:pPr>
        <w:pStyle w:val="EskdText"/>
      </w:pPr>
      <w:r>
        <w:t xml:space="preserve">Использование LFE5U-45F-6BG381I приведено в таблице 4.</w:t>
      </w:r>
    </w:p>
    <w:p>
      <w:pPr>
        <w:pStyle w:val="EskdText"/>
        <w:keepNext/>
        <w:spacing w:before="80" w:after="40" w:line="282" w:lineRule="auto"/>
        <w:ind w:left="0" w:right="0" w:firstLine="0"/>
        <w:jc w:val="left"/>
      </w:pPr>
      <w:r>
        <w:t xml:space="preserve">Таблица 4 — Ресурсы ПЛИС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5690"/>
        <w:gridCol w:w="2480"/>
        <w:gridCol w:w="1751"/>
      </w:tblGrid>
      <w:tr>
        <w:trPr>
          <w:cantSplit/>
          <w:tblHeader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Ресурс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Использовано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Доступно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Логические ячейки LUT4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31 503 (71 %)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43 848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Триггеры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12 833 (29 %)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43 848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Ячейки распределённой памяти (RAMW)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993 (18 %)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5 481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Блоки памяти EBR (DP16KD, 18 Кбит)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98 (90 %)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108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Умножители 18×18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 (11 %)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72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ФАПЧ (EHXPLLL)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Выводы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152 (62 %)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245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6.2.2 Быстродействие: после размещения и трассировки — 96,90 МГц при требуемых 96 МГц (такт обработки — 4 × 24 МГц), начальное значение размещения 1 (</w:t>
      </w:r>
      <w:r>
        <w:rPr>
          <w:rFonts w:ascii="Courier New" w:hAnsi="Courier New" w:cs="Courier New" w:eastAsia="Courier New"/>
        </w:rPr>
        <w:t xml:space="preserve">SEED</w:t>
      </w:r>
      <w:r>
        <w:t xml:space="preserve"> в </w:t>
      </w:r>
      <w:r>
        <w:rPr>
          <w:rFonts w:ascii="Courier New" w:hAnsi="Courier New" w:cs="Courier New" w:eastAsia="Courier New"/>
        </w:rPr>
        <w:t xml:space="preserve">fpga/Makefile</w:t>
      </w:r>
      <w:r>
        <w:t xml:space="preserve">). Запас 0,9 %; при других начальных значениях (2, 3) — 93,5 и 89,0 МГц, поэтому начальное значение зафиксировано. Критический путь (10,3 нс) — цепь переноса номера чипа на ступени S1 движка коррелятора.</w:t>
      </w:r>
    </w:p>
    <w:p>
      <w:pPr>
        <w:pStyle w:val="EskdText"/>
      </w:pPr>
      <w:r>
        <w:t xml:space="preserve">Для достижения 96 МГц длинные цепи разбиты регистрами или заменены предвычислением: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выходной регистр EBR памяти кодов, память номера следующего слова кода;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признаки эпохи и сброса — из LUTRAM, вычисляются заранее;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конвейер АРУ и разделение ступеней режекторного фильтра, ПЗУ фильтра с выходным регистром;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копии номера слота (нагрузка на один триггер), сдвиг со сложением вместо умножения;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регистровое сравнение TIC;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регистровые стробы записи кода и отдельные регистры шины в каждом движке.</w:t>
      </w:r>
    </w:p>
    <w:p>
      <w:pPr>
        <w:pStyle w:val="EskdText"/>
      </w:pPr>
      <w:r>
        <w:t xml:space="preserve">Fmax по итерациям: 53,9 → 64,6 → 71…73 → 84…89 → 86…88 → 91,9 → 96,9 МГц.</w:t>
      </w:r>
    </w:p>
    <w:p>
      <w:pPr>
        <w:pStyle w:val="EskdText"/>
      </w:pPr>
      <w:r>
        <w:t xml:space="preserve">Готовая конфигурация — </w:t>
      </w:r>
      <w:r>
        <w:rPr>
          <w:rFonts w:ascii="Courier New" w:hAnsi="Courier New" w:cs="Courier New" w:eastAsia="Courier New"/>
        </w:rPr>
        <w:t xml:space="preserve">fpga/bit/mgp8.bit</w:t>
      </w:r>
      <w:r>
        <w:t xml:space="preserve"> (контрольная сумма и отчёт — </w:t>
      </w:r>
      <w:r>
        <w:rPr>
          <w:rFonts w:ascii="Courier New" w:hAnsi="Courier New" w:cs="Courier New" w:eastAsia="Courier New"/>
        </w:rPr>
        <w:t xml:space="preserve">fpga/bit/mgp8_bit.txt</w:t>
      </w:r>
      <w:r>
        <w:t xml:space="preserve">).</w:t>
      </w:r>
    </w:p>
    <w:p>
      <w:pPr>
        <w:pStyle w:val="Heading1"/>
      </w:pPr>
      <w:r>
        <w:t xml:space="preserve">7 Соответствие техническому заданию</w:t>
      </w:r>
    </w:p>
    <w:p>
      <w:pPr>
        <w:pStyle w:val="EskdText"/>
        <w:keepNext/>
        <w:spacing w:before="80" w:after="40" w:line="282" w:lineRule="auto"/>
        <w:ind w:left="0" w:right="0" w:firstLine="0"/>
        <w:jc w:val="left"/>
      </w:pPr>
      <w:r>
        <w:t xml:space="preserve">Таблица 5 — Соответствие ТЗ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655"/>
        <w:gridCol w:w="1986"/>
        <w:gridCol w:w="6625"/>
        <w:gridCol w:w="655"/>
      </w:tblGrid>
      <w:tr>
        <w:trPr>
          <w:cantSplit/>
          <w:tblHeader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Пункт ТЗ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Требование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Результат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Подтверждение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5.1.2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Состав изделия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Э1, Э3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5.1.3, 5.1.4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Габариты 100×75×12 мм, масса 80 г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не проверено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разводка платы — следующий этап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Сигналы всех систем и диапазонов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(схема, ПЛИС); в ПО МК — GPS L1 C/A, ГЛОНАСС L1OF, Galileo E1-B (I/NAV) и BeiDou B1I (D1, КА MEO/IGSO) полностью (захват, слежение, сообщения, решение), вторые частоты GPS L2C и L5, ГЛОНАСС L2OF, Galileo E5a, BeiDou B3I — слежение и двухчастотные измерения, остальные сигналы — коды, слежение (L1 C/A, E1C в ПО МК; все — в эталонном приёмнике)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4.2, 5.2, 5.4.3–5.4.6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5.2.2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Не менее 64 каналов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80 каналов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4.4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5.2.3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Захват −142 дБм; повторный захват −147 дБм; слежение −150 дБм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на модели: захват (до 8 мин), повторный захват после перерыва 30 с (0,3 с), слежение по пилоту (21 дБГц)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5.3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5.2.4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ВПО холодный старт 45 с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расчётно: захват ≈ 15 с + приём эфемерид 18…30 с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5.3, 5.4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5.2.5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Точность 2,5 м / 4 м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расчётом для двухчастотного режима; в ПО МК — двухчастотный режим по четырём системам (L1 C/A + L2C или L5, G1 + G2, E1 + E5a, B1I + B3I) со сглаживанием по фазе и весами по шуму кода; сквозная модель: GPS L1 C/A + L2C — 0,7…1,5 м (PDOP 2,0), четыре системы — 0,5…0,6 м (PDOP 1,67)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5.4.1, 5.4.4, 5.4.6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5.2.7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Скорость 0,05 м/с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решение по доплеру реализовано, оценка точности — по ПМ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4.5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5.2.10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Динамика 500 м/с, 4g, 2g/с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на модели (ФАП 3-го порядка)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5.3.7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5.2.8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1PPS 5 / 4 нс (режим синхронизации времени), 10 нс (навигационный режим); взаимная 2,5 нс — второй этап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расчётно 4,3 / 3,1 нс; сквозная модель в навигационном режиме 3,6 / 1,2 нс (СКО); дифференциальный режим не реализован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5.4.2, 5.4.3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5.2.11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Подавление помех ≥ 25 дБ J/S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выполнено, до 50 дБ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5.5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5.2.12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NMEA, RTCM, собственный протокол, отсчёты ПЧ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4.5, 6.1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5.2.13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Режим синхронизации времени (survey-in, фиксированные координаты, T-RAIM, удержание)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не выполнено — ПО МК следующего этапа; аппаратная часть (шкала времени ПЛИС, вход опоры 10 МГц) есть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4.3, 9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5.2.14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Калибровка задержек, остаток ≤ 2 нс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бюджет 1PPS заложен с 2 нс; хранение коэффициентов — отдельный сектор флеш-памяти МК, датчик температуры — встроенный в МК; методика — ПМ 7.2.13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5.4.2, 9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5.2.15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Расширение на НОО: перестраиваемый канал, коды до 16 376 элементов, доплер ±50 кГц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схема и ПЛИС позволяют: вход и делитель широкополосные (0,9…2,2 ГГц), гетеродины MAX2771 программные, память кода 16 376 элементов, NCO кода до 12 Мчип/с; ПО — следующий этап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4.2, 4.4, 9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5.2.16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Целевые показатели «не хуже ZED-F9T»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1PPS — расчётно на уровне ZED-F9T; чувствительность и ВПО — ниже (слежение −150 против −167 дБм, ВПО 45 против 26 с); сравнение — по ПМ 7.2.15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5.3, 5.4.2, 9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5.3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Интерфейсы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в схеме; метка EXTINT — дискретность 10,4 нс при норме 8 нс (нужна доработка ПЛИС)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Э3, 5.6, 9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5.4.1, 5.4.3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Питание, защита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в схеме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Э3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5.4.2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Мощность ≤ 3,5 Вт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3,29 Вт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5.7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5.5.1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Наработка 50 000 ч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153 000 ч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5.8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5.6.1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+85 °С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при снижении частоты МК и отводе тепла ПЛИС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5.7.2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5.7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ЭМС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частотный план и меры — 4.2.2; испытания по ПМ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4.2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5.8.3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Сборка ПЛИС открытыми средствами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6.2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5.9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Состав ПО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(ПО записи на ПК — ПО Pocket SDR)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4.5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Heading1"/>
      </w:pPr>
      <w:r>
        <w:t xml:space="preserve">8 Импортозамещение</w:t>
      </w:r>
    </w:p>
    <w:p>
      <w:pPr>
        <w:pStyle w:val="EskdText"/>
      </w:pPr>
      <w:r>
        <w:t xml:space="preserve">8.1 На этапе опытного образца применяется иностранная ЭКБ (ТЗ п. 5.8.2). Направления замены на отечественную ЭКБ: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1327"/>
        <w:gridCol w:w="3922"/>
        <w:gridCol w:w="4672"/>
      </w:tblGrid>
      <w:tr>
        <w:trPr>
          <w:cantSplit/>
          <w:tblHeader/>
        </w:trPr>
        <w:tc>
          <w:tcPr>
            <w:tcW w:w="132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Компонент</w:t>
            </w:r>
          </w:p>
        </w:tc>
        <w:tc>
          <w:tcPr>
            <w:tcW w:w="39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Направление замены</w:t>
            </w:r>
          </w:p>
        </w:tc>
        <w:tc>
          <w:tcPr>
            <w:tcW w:w="4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Ограничения</w:t>
            </w:r>
          </w:p>
        </w:tc>
      </w:tr>
      <w:tr>
        <w:trPr>
          <w:cantSplit/>
        </w:trPr>
        <w:tc>
          <w:tcPr>
            <w:tcW w:w="132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ПЛИС LFE5U-45</w:t>
            </w:r>
          </w:p>
        </w:tc>
        <w:tc>
          <w:tcPr>
            <w:tcW w:w="39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ПЛИС отечественного производства (АО «ВЗПП-С», АО «ПКК Миландр»)</w:t>
            </w:r>
          </w:p>
        </w:tc>
        <w:tc>
          <w:tcPr>
            <w:tcW w:w="4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перенос RTL; средства сборки изготовителя вместо открытых</w:t>
            </w:r>
          </w:p>
        </w:tc>
      </w:tr>
      <w:tr>
        <w:trPr>
          <w:cantSplit/>
        </w:trPr>
        <w:tc>
          <w:tcPr>
            <w:tcW w:w="132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МК STM32H743</w:t>
            </w:r>
          </w:p>
        </w:tc>
        <w:tc>
          <w:tcPr>
            <w:tcW w:w="39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отечественные микроконтроллеры с ядром ARM или RISC-V</w:t>
            </w:r>
          </w:p>
        </w:tc>
        <w:tc>
          <w:tcPr>
            <w:tcW w:w="4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производительности недостаточно для захвата с БПФ — захват переносится в ПЛИС</w:t>
            </w:r>
          </w:p>
        </w:tc>
      </w:tr>
      <w:tr>
        <w:trPr>
          <w:cantSplit/>
        </w:trPr>
        <w:tc>
          <w:tcPr>
            <w:tcW w:w="132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ВЧ-приёмник MAX2771</w:t>
            </w:r>
          </w:p>
        </w:tc>
        <w:tc>
          <w:tcPr>
            <w:tcW w:w="39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отечественные ВЧ-микросхемы приёмников ГНСС</w:t>
            </w:r>
          </w:p>
        </w:tc>
        <w:tc>
          <w:tcPr>
            <w:tcW w:w="4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другие частотные планы и формат отсчётов; изменение ВЧ-части схемы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Выбор конкретных типов требует проработки по каталогам изготовителей на следующем этапе.</w:t>
      </w:r>
    </w:p>
    <w:p>
      <w:pPr>
        <w:pStyle w:val="EskdText"/>
      </w:pPr>
      <w:r>
        <w:t xml:space="preserve">8.2 Открытость RTL и ПО упрощает перенос на отечественную ЭКБ: алгоритмы не привязаны к библиотекам изготовителей. Исключение — CMSIS-DSP, который заменяется собственным БПФ (</w:t>
      </w:r>
      <w:r>
        <w:rPr>
          <w:rFonts w:ascii="Courier New" w:hAnsi="Courier New" w:cs="Courier New" w:eastAsia="Courier New"/>
        </w:rPr>
        <w:t xml:space="preserve">sw/fw/src/fft.c</w:t>
      </w:r>
      <w:r>
        <w:t xml:space="preserve">).</w:t>
      </w:r>
    </w:p>
    <w:p>
      <w:pPr>
        <w:pStyle w:val="Heading1"/>
      </w:pPr>
      <w:r>
        <w:t xml:space="preserve">9 Нерешённые вопросы и дальнейшие работы</w:t>
      </w:r>
    </w:p>
    <w:p>
      <w:pPr>
        <w:pStyle w:val="EskdText"/>
      </w:pPr>
      <w:r>
        <w:t xml:space="preserve">9.1 По итогам этапа остаются задачи следующего этапа:</w:t>
      </w:r>
    </w:p>
    <w:p>
      <w:pPr>
        <w:pStyle w:val="EskdText"/>
        <w:ind w:left="964" w:hanging="255"/>
      </w:pPr>
      <w:r>
        <w:t xml:space="preserve">1)</w:t>
        <w:tab/>
      </w:r>
      <w:r>
        <w:t xml:space="preserve">Разводка печатной платы, проверка габаритов и тепловой модели, изготовление опытного образца.</w:t>
      </w:r>
    </w:p>
    <w:p>
      <w:pPr>
        <w:pStyle w:val="EskdText"/>
        <w:ind w:left="964" w:hanging="255"/>
      </w:pPr>
      <w:r>
        <w:t xml:space="preserve">2)</w:t>
        <w:tab/>
      </w:r>
      <w:r>
        <w:t xml:space="preserve">ПО МК — платформенная часть (начальный запуск, драйверы UART, USB, CAN, SDMMC, загрузчик, планировщик) и многосистемная и многочастотная обработка: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навигационные сообщения BeiDou D2 (КА GEO) и ГЛОНАСС с кодовым разделением (Galileo I/NAV и BeiDou D1 реализованы), ионосферная модель BeiDou в решении, захват E1 в режиме длительного накопления;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пара BeiDou B1I + B2a: нужна групповая задержка TGD_B2ap из сообщения B-CNAV. Пары L1 + L2C или L5, G1 + G2, E1 + E5a и B1I + B3I реализованы (5.4.4, 5.4.6). Вместо B2a выбран B3I: часы КА в D1 отнесены к B3I, поэтому достаточно TGD1;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узкий коррелятор (разнос E/L 0,1 чипа) для ГЛОНАСС. Ионосферно-свободная комбинация G1 + G2 (чип 587 м на обеих частотах) по СКО в 2,5–8 раз шумнее остальных пар;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помощь каналам второй частоты по несущей L1 при высокой динамике.</w:t>
      </w:r>
    </w:p>
    <w:p>
      <w:pPr>
        <w:pStyle w:val="EskdText"/>
        <w:ind w:left="964" w:hanging="255"/>
      </w:pPr>
      <w:r>
        <w:t xml:space="preserve">3)</w:t>
        <w:tab/>
      </w:r>
      <w:r>
        <w:t xml:space="preserve">RTK (ТЗ п. 5.2.6) — второй этап ОКР.</w:t>
      </w:r>
    </w:p>
    <w:p>
      <w:pPr>
        <w:pStyle w:val="EskdText"/>
        <w:ind w:left="964" w:hanging="255"/>
      </w:pPr>
      <w:r>
        <w:t xml:space="preserve">4)</w:t>
        <w:tab/>
      </w:r>
      <w:r>
        <w:t xml:space="preserve">Ускорение холодного старта на пороговом уровне: аппаратный ускоритель БПФ в ПЛИС или перенос захвата на более производительный процессор.</w:t>
      </w:r>
    </w:p>
    <w:p>
      <w:pPr>
        <w:pStyle w:val="EskdText"/>
        <w:ind w:left="964" w:hanging="255"/>
      </w:pPr>
      <w:r>
        <w:t xml:space="preserve">5)</w:t>
        <w:tab/>
      </w:r>
      <w:r>
        <w:t xml:space="preserve">Предварительные испытания по ПМ (ШИВА.468157.001 ПМ).</w:t>
      </w:r>
    </w:p>
    <w:p>
      <w:pPr>
        <w:pStyle w:val="EskdText"/>
        <w:ind w:left="964" w:hanging="255"/>
      </w:pPr>
      <w:r>
        <w:t xml:space="preserve">6)</w:t>
        <w:tab/>
      </w:r>
      <w:r>
        <w:t xml:space="preserve">Показатели «не хуже ZED-F9T» (ТЗ п. 5.2.13–5.2.16, таблица 2):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режим синхронизации времени в ПО МК: survey-in, фиксированные координаты, решение по одному КА, T-RAIM, удержание 1PPS по ТКГ и по опоре 10 МГц;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калибровка задержек: хранение коэффициентов во флеш-памяти МК, температурная модель по испытаниям опытных образцов;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метка EXTINT с дискретностью не более 8 нс: захват по обоим фронтам 96 МГц в ПЛИС (5,2 нс; сейчас 10,4 нс);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чувствительность и ВПО до целевых значений (слежение −160 дБм, холодный старт −148 дБм, ВПО 26 с): длительное накопление по пилотным компонентам в режиме синхронизации времени, ускорение захвата (п. 4);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дифференциальный режим (взаимная погрешность 1PPS 2,5 нс) и OSNMA — второй этап ОКР.</w:t>
      </w:r>
    </w:p>
    <w:p>
      <w:pPr>
        <w:pStyle w:val="EskdText"/>
        <w:ind w:left="964" w:hanging="255"/>
      </w:pPr>
      <w:r>
        <w:t xml:space="preserve">7)</w:t>
        <w:tab/>
      </w:r>
      <w:r>
        <w:t xml:space="preserve">Расширение на низкоорбитальные системы (ТЗ п. 5.2.15): подключаемые модули сигналов и моделей орбит в ПО МК, поиск по доплеру ±50 кГц. По документации ADI подтвердить диапазоны перестройки гетеродина MAX2771 и проверить приём в полосе 1616…1626,5 МГц (Iridium STL): по предварительным данным она выше верхней границы (1610 МГц).</w:t>
      </w:r>
    </w:p>
    <w:sectPr w:rsidR="00FC693F" w:rsidRPr="0006063C" w:rsidSect="00034616">
      <w:headerReference w:type="first" r:id="rId9"/>
      <w:headerReference w:type="default" r:id="rId10"/>
      <w:footerReference w:type="first" r:id="rId11"/>
      <w:footerReference w:type="default" r:id="rId12"/>
      <w:pgSz w:w="11906" w:h="16838"/>
      <w:pgMar w:top="850" w:right="567" w:bottom="1417" w:left="1417" w:header="0" w:footer="85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osifont">
    <w:charset w:val="00"/>
    <w:family w:val="swiss"/>
    <w:pitch w:val="variable"/>
    <w:embedRegular r:id="rId1" w:fontKey="{9ED5E3DE-E9B3-58E4-9C2E-54D84BA76947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83" w:lineRule="exact"/>
      <w:ind w:left="0" w:right="0" w:firstLine="0"/>
      <w:rPr>
        <w:sz w:val="2"/>
        <w:szCs w:val="2"/>
      </w:rPr>
    </w:pPr>
  </w:p>
  <w:tbl>
    <w:tblPr>
      <w:tblW w:w="10488" w:type="dxa"/>
      <w:tblInd w:w="-283" w:type="dxa"/>
      <w:tblLayout w:type="fixed"/>
      <w:tblCellMar>
        <w:top w:w="0" w:type="dxa"/>
        <w:left w:w="28" w:type="dxa"/>
        <w:bottom w:w="0" w:type="dxa"/>
        <w:right w:w="28" w:type="dxa"/>
      </w:tblCellMar>
      <w:tblLook w:val="0000" w:firstRow="0" w:lastRow="0" w:firstColumn="0" w:lastColumn="0" w:noHBand="1" w:noVBand="1"/>
    </w:tblPr>
    <w:tblGrid>
      <w:gridCol w:w="397"/>
      <w:gridCol w:w="567"/>
      <w:gridCol w:w="1304"/>
      <w:gridCol w:w="850"/>
      <w:gridCol w:w="567"/>
      <w:gridCol w:w="3969"/>
      <w:gridCol w:w="283"/>
      <w:gridCol w:w="283"/>
      <w:gridCol w:w="284"/>
      <w:gridCol w:w="850"/>
      <w:gridCol w:w="1134"/>
    </w:tblGrid>
    <w:tr>
      <w:trPr>
        <w:cantSplit/>
        <w:trHeight w:val="283" w:hRule="exact"/>
      </w:trPr>
      <w:tc>
        <w:tcPr>
          <w:tcW w:w="39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1304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6803" w:type="dxa"/>
          <w:gridSpan w:val="6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28"/>
              <w:szCs w:val="28"/>
            </w:rPr>
          </w:pPr>
          <w:r>
            <w:rPr>
              <w:rFonts w:ascii="osifont" w:hAnsi="osifont" w:cs="osifont" w:eastAsia="osifont"/>
              <w:sz w:val="28"/>
              <w:szCs w:val="28"/>
            </w:rPr>
            <w:t xml:space="preserve">ШИВА.468157.001 ПЗ</w:t>
          </w:r>
        </w:p>
      </w:tc>
    </w:tr>
    <w:tr>
      <w:trPr>
        <w:cantSplit/>
        <w:trHeight w:val="283" w:hRule="exact"/>
      </w:trPr>
      <w:tc>
        <w:tcPr>
          <w:tcW w:w="397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1304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6803" w:type="dxa"/>
          <w:gridSpan w:val="6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  <w:tr>
      <w:trPr>
        <w:cantSplit/>
        <w:trHeight w:val="283" w:hRule="exact"/>
      </w:trPr>
      <w:tc>
        <w:tcPr>
          <w:tcW w:w="39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Изм.</w:t>
          </w: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Лист</w:t>
          </w:r>
        </w:p>
      </w:tc>
      <w:tc>
        <w:tcPr>
          <w:tcW w:w="1304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№ докум.</w:t>
          </w: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Подп.</w:t>
          </w: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6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  <w:tr>
      <w:trPr>
        <w:cantSplit/>
        <w:trHeight w:val="283" w:hRule="exact"/>
      </w:trPr>
      <w:tc>
        <w:tcPr>
          <w:tcW w:w="964" w:type="dxa"/>
          <w:gridSpan w:val="2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left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Разраб.</w:t>
          </w:r>
        </w:p>
      </w:tc>
      <w:tc>
        <w:tcPr>
          <w:tcW w:w="1304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Разработчик</w:t>
          </w: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10.2026</w:t>
          </w:r>
        </w:p>
      </w:tc>
      <w:tc>
        <w:tcPr>
          <w:tcW w:w="3969" w:type="dxa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170" w:line="240" w:lineRule="auto"/>
            <w:ind w:left="0" w:right="0" w:firstLine="0"/>
            <w:jc w:val="center"/>
            <w:rPr>
              <w:rFonts w:ascii="osifont" w:hAnsi="osifont" w:cs="osifont" w:eastAsia="osifont"/>
              <w:sz w:val="19"/>
              <w:szCs w:val="19"/>
            </w:rPr>
          </w:pPr>
          <w:r>
            <w:rPr>
              <w:rFonts w:ascii="osifont" w:hAnsi="osifont" w:cs="osifont" w:eastAsia="osifont"/>
              <w:sz w:val="19"/>
              <w:szCs w:val="19"/>
            </w:rPr>
            <w:t xml:space="preserve">Модуль приемника ГНСС МГП-8</w:t>
          </w:r>
        </w:p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9"/>
              <w:szCs w:val="19"/>
            </w:rPr>
          </w:pPr>
          <w:r>
            <w:rPr>
              <w:rFonts w:ascii="osifont" w:hAnsi="osifont" w:cs="osifont" w:eastAsia="osifont"/>
              <w:sz w:val="19"/>
              <w:szCs w:val="19"/>
            </w:rPr>
            <w:t xml:space="preserve">Пояснительная записка</w:t>
          </w:r>
        </w:p>
      </w:tc>
      <w:tc>
        <w:tcPr>
          <w:tcW w:w="850" w:type="dxa"/>
          <w:gridSpan w:val="3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Лит.</w:t>
          </w: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Лист</w:t>
          </w:r>
        </w:p>
      </w:tc>
      <w:tc>
        <w:tcPr>
          <w:tcW w:w="1134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Листов</w:t>
          </w:r>
        </w:p>
      </w:tc>
    </w:tr>
    <w:tr>
      <w:trPr>
        <w:cantSplit/>
        <w:trHeight w:val="283" w:hRule="exact"/>
      </w:trPr>
      <w:tc>
        <w:tcPr>
          <w:tcW w:w="964" w:type="dxa"/>
          <w:gridSpan w:val="2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left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Пров.</w:t>
          </w:r>
        </w:p>
      </w:tc>
      <w:tc>
        <w:tcPr>
          <w:tcW w:w="1304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</w:p>
      </w:tc>
      <w:tc>
        <w:tcPr>
          <w:tcW w:w="850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3969" w:type="dxa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283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6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6"/>
              <w:szCs w:val="16"/>
            </w:rPr>
          </w:pPr>
          <w:r>
            <w:rPr>
              <w:rFonts w:ascii="osifont" w:hAnsi="osifont" w:cs="osifont" w:eastAsia="osifont"/>
              <w:sz w:val="16"/>
              <w:szCs w:val="16"/>
            </w:rPr>
            <w:t xml:space="preserve">Э</w:t>
          </w:r>
        </w:p>
      </w:tc>
      <w:tc>
        <w:tcPr>
          <w:tcW w:w="283" w:type="dxa"/>
          <w:tcBorders>
            <w:top w:val="single" w:sz="12" w:space="0" w:color="000000"/>
            <w:left w:val="single" w:sz="6" w:space="0" w:color="000000"/>
            <w:bottom w:val="single" w:sz="12" w:space="0" w:color="000000"/>
            <w:right w:val="single" w:sz="6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284" w:type="dxa"/>
          <w:tcBorders>
            <w:top w:val="single" w:sz="12" w:space="0" w:color="000000"/>
            <w:left w:val="single" w:sz="6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6"/>
              <w:szCs w:val="16"/>
            </w:rPr>
          </w:pPr>
          <w:r>
            <w:rPr>
              <w:rFonts w:ascii="osifont" w:hAnsi="osifont" w:cs="osifont" w:eastAsia="osifont"/>
              <w:sz w:val="16"/>
              <w:szCs w:val="16"/>
            </w:rPr>
            <w:fldChar w:fldCharType="begin"/>
          </w:r>
          <w:r>
            <w:rPr>
              <w:rFonts w:ascii="osifont" w:hAnsi="osifont" w:cs="osifont" w:eastAsia="osifont"/>
              <w:sz w:val="16"/>
              <w:szCs w:val="16"/>
            </w:rPr>
            <w:instrText xml:space="preserve"> PAGE </w:instrText>
          </w:r>
          <w:r>
            <w:rPr>
              <w:rFonts w:ascii="osifont" w:hAnsi="osifont" w:cs="osifont" w:eastAsia="osifont"/>
              <w:sz w:val="16"/>
              <w:szCs w:val="16"/>
            </w:rPr>
            <w:fldChar w:fldCharType="separate"/>
          </w:r>
          <w:r>
            <w:rPr>
              <w:rFonts w:ascii="osifont" w:hAnsi="osifont" w:cs="osifont" w:eastAsia="osifont"/>
              <w:sz w:val="16"/>
              <w:szCs w:val="16"/>
            </w:rPr>
            <w:t xml:space="preserve">1</w:t>
          </w:r>
          <w:r>
            <w:rPr>
              <w:rFonts w:ascii="osifont" w:hAnsi="osifont" w:cs="osifont" w:eastAsia="osifont"/>
              <w:sz w:val="16"/>
              <w:szCs w:val="16"/>
            </w:rPr>
            <w:fldChar w:fldCharType="end"/>
          </w:r>
        </w:p>
      </w:tc>
      <w:tc>
        <w:tcPr>
          <w:tcW w:w="1134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6"/>
              <w:szCs w:val="16"/>
            </w:rPr>
          </w:pPr>
          <w:r>
            <w:rPr>
              <w:rFonts w:ascii="osifont" w:hAnsi="osifont" w:cs="osifont" w:eastAsia="osifont"/>
              <w:sz w:val="16"/>
              <w:szCs w:val="16"/>
            </w:rPr>
            <w:fldChar w:fldCharType="begin"/>
          </w:r>
          <w:r>
            <w:rPr>
              <w:rFonts w:ascii="osifont" w:hAnsi="osifont" w:cs="osifont" w:eastAsia="osifont"/>
              <w:sz w:val="16"/>
              <w:szCs w:val="16"/>
            </w:rPr>
            <w:instrText xml:space="preserve"> NUMPAGES </w:instrText>
          </w:r>
          <w:r>
            <w:rPr>
              <w:rFonts w:ascii="osifont" w:hAnsi="osifont" w:cs="osifont" w:eastAsia="osifont"/>
              <w:sz w:val="16"/>
              <w:szCs w:val="16"/>
            </w:rPr>
            <w:fldChar w:fldCharType="separate"/>
          </w:r>
          <w:r>
            <w:rPr>
              <w:rFonts w:ascii="osifont" w:hAnsi="osifont" w:cs="osifont" w:eastAsia="osifont"/>
              <w:sz w:val="16"/>
              <w:szCs w:val="16"/>
            </w:rPr>
            <w:t xml:space="preserve">1</w:t>
          </w:r>
          <w:r>
            <w:rPr>
              <w:rFonts w:ascii="osifont" w:hAnsi="osifont" w:cs="osifont" w:eastAsia="osifont"/>
              <w:sz w:val="16"/>
              <w:szCs w:val="16"/>
            </w:rPr>
            <w:fldChar w:fldCharType="end"/>
          </w:r>
        </w:p>
      </w:tc>
    </w:tr>
    <w:tr>
      <w:trPr>
        <w:cantSplit/>
        <w:trHeight w:val="283" w:hRule="exact"/>
      </w:trPr>
      <w:tc>
        <w:tcPr>
          <w:tcW w:w="964" w:type="dxa"/>
          <w:gridSpan w:val="2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left"/>
            <w:rPr>
              <w:rFonts w:ascii="osifont" w:hAnsi="osifont" w:cs="osifont" w:eastAsia="osifont"/>
              <w:sz w:val="14"/>
              <w:szCs w:val="14"/>
            </w:rPr>
          </w:pPr>
        </w:p>
      </w:tc>
      <w:tc>
        <w:tcPr>
          <w:tcW w:w="1304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</w:p>
      </w:tc>
      <w:tc>
        <w:tcPr>
          <w:tcW w:w="850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3969" w:type="dxa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2834" w:type="dxa"/>
          <w:gridSpan w:val="5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9"/>
              <w:szCs w:val="19"/>
            </w:rPr>
          </w:pPr>
          <w:r>
            <w:rPr>
              <w:rFonts w:ascii="osifont" w:hAnsi="osifont" w:cs="osifont" w:eastAsia="osifont"/>
              <w:sz w:val="19"/>
              <w:szCs w:val="19"/>
            </w:rPr>
            <w:t xml:space="preserve">ООО ШИВА НЕТВОРК</w:t>
          </w:r>
        </w:p>
      </w:tc>
    </w:tr>
    <w:tr>
      <w:trPr>
        <w:cantSplit/>
        <w:trHeight w:val="283" w:hRule="exact"/>
      </w:trPr>
      <w:tc>
        <w:tcPr>
          <w:tcW w:w="964" w:type="dxa"/>
          <w:gridSpan w:val="2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left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Н.контр.</w:t>
          </w:r>
        </w:p>
      </w:tc>
      <w:tc>
        <w:tcPr>
          <w:tcW w:w="1304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</w:p>
      </w:tc>
      <w:tc>
        <w:tcPr>
          <w:tcW w:w="850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3969" w:type="dxa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2834" w:type="dxa"/>
          <w:gridSpan w:val="5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  <w:tr>
      <w:trPr>
        <w:cantSplit/>
        <w:trHeight w:val="283" w:hRule="exact"/>
      </w:trPr>
      <w:tc>
        <w:tcPr>
          <w:tcW w:w="964" w:type="dxa"/>
          <w:gridSpan w:val="2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left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Утв.</w:t>
          </w:r>
        </w:p>
      </w:tc>
      <w:tc>
        <w:tcPr>
          <w:tcW w:w="1304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</w:p>
      </w:tc>
      <w:tc>
        <w:tcPr>
          <w:tcW w:w="850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3969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2834" w:type="dxa"/>
          <w:gridSpan w:val="5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</w:tbl>
  <w:p>
    <w:pPr>
      <w:tabs>
        <w:tab w:val="left" w:pos="3969"/>
        <w:tab w:val="left" w:pos="7937"/>
      </w:tabs>
      <w:spacing w:before="0" w:after="0" w:line="198" w:lineRule="exact"/>
      <w:ind w:left="0" w:right="0" w:firstLine="0"/>
      <w:rPr>
        <w:rFonts w:ascii="osifont" w:hAnsi="osifont" w:cs="osifont" w:eastAsia="osifont"/>
        <w:sz w:val="14"/>
        <w:szCs w:val="14"/>
      </w:rPr>
    </w:pPr>
    <w:r>
      <w:rPr>
        <w:rFonts w:ascii="osifont" w:hAnsi="osifont" w:cs="osifont" w:eastAsia="osifont"/>
        <w:sz w:val="14"/>
        <w:szCs w:val="14"/>
      </w:rPr>
      <w:tab/>
      <w:t xml:space="preserve">Копировал</w:t>
      <w:tab/>
      <w:t xml:space="preserve">Формат A4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83" w:lineRule="exact"/>
      <w:ind w:left="0" w:right="0" w:firstLine="0"/>
      <w:rPr>
        <w:sz w:val="2"/>
        <w:szCs w:val="2"/>
      </w:rPr>
    </w:pPr>
  </w:p>
  <w:tbl>
    <w:tblPr>
      <w:tblW w:w="10488" w:type="dxa"/>
      <w:tblInd w:w="-283" w:type="dxa"/>
      <w:tblLayout w:type="fixed"/>
      <w:tblCellMar>
        <w:top w:w="0" w:type="dxa"/>
        <w:left w:w="28" w:type="dxa"/>
        <w:bottom w:w="0" w:type="dxa"/>
        <w:right w:w="28" w:type="dxa"/>
      </w:tblCellMar>
      <w:tblLook w:val="0000" w:firstRow="0" w:lastRow="0" w:firstColumn="0" w:lastColumn="0" w:noHBand="1" w:noVBand="1"/>
    </w:tblPr>
    <w:tblGrid>
      <w:gridCol w:w="397"/>
      <w:gridCol w:w="567"/>
      <w:gridCol w:w="1304"/>
      <w:gridCol w:w="850"/>
      <w:gridCol w:w="567"/>
      <w:gridCol w:w="6236"/>
      <w:gridCol w:w="567"/>
    </w:tblGrid>
    <w:tr>
      <w:trPr>
        <w:cantSplit/>
        <w:trHeight w:val="283" w:hRule="exact"/>
      </w:trPr>
      <w:tc>
        <w:tcPr>
          <w:tcW w:w="39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1304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6236" w:type="dxa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28"/>
              <w:szCs w:val="28"/>
            </w:rPr>
          </w:pPr>
          <w:r>
            <w:rPr>
              <w:rFonts w:ascii="osifont" w:hAnsi="osifont" w:cs="osifont" w:eastAsia="osifont"/>
              <w:sz w:val="28"/>
              <w:szCs w:val="28"/>
            </w:rPr>
            <w:t xml:space="preserve">ШИВА.468157.001 ПЗ</w:t>
          </w:r>
        </w:p>
      </w:tc>
      <w:tc>
        <w:tcPr>
          <w:tcW w:w="567" w:type="dxa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Лист</w:t>
          </w:r>
        </w:p>
      </w:tc>
    </w:tr>
    <w:tr>
      <w:trPr>
        <w:cantSplit/>
        <w:trHeight w:val="113" w:hRule="exact"/>
      </w:trPr>
      <w:tc>
        <w:tcPr>
          <w:tcW w:w="397" w:type="dxa"/>
          <w:vMerge w:val="restart"/>
          <w:tcBorders>
            <w:top w:val="single" w:sz="6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 w:val="restart"/>
          <w:tcBorders>
            <w:top w:val="single" w:sz="6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1304" w:type="dxa"/>
          <w:vMerge w:val="restart"/>
          <w:tcBorders>
            <w:top w:val="single" w:sz="6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vMerge w:val="restart"/>
          <w:tcBorders>
            <w:top w:val="single" w:sz="6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 w:val="restart"/>
          <w:tcBorders>
            <w:top w:val="single" w:sz="6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6236" w:type="dxa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  <w:tr>
      <w:trPr>
        <w:cantSplit/>
        <w:trHeight w:val="170" w:hRule="exact"/>
      </w:trPr>
      <w:tc>
        <w:tcPr>
          <w:tcW w:w="397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1304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6236" w:type="dxa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9"/>
              <w:szCs w:val="19"/>
            </w:rPr>
          </w:pPr>
          <w:r>
            <w:rPr>
              <w:rFonts w:ascii="osifont" w:hAnsi="osifont" w:cs="osifont" w:eastAsia="osifont"/>
              <w:sz w:val="19"/>
              <w:szCs w:val="19"/>
            </w:rPr>
            <w:fldChar w:fldCharType="begin"/>
          </w:r>
          <w:r>
            <w:rPr>
              <w:rFonts w:ascii="osifont" w:hAnsi="osifont" w:cs="osifont" w:eastAsia="osifont"/>
              <w:sz w:val="19"/>
              <w:szCs w:val="19"/>
            </w:rPr>
            <w:instrText xml:space="preserve"> PAGE </w:instrText>
          </w:r>
          <w:r>
            <w:rPr>
              <w:rFonts w:ascii="osifont" w:hAnsi="osifont" w:cs="osifont" w:eastAsia="osifont"/>
              <w:sz w:val="19"/>
              <w:szCs w:val="19"/>
            </w:rPr>
            <w:fldChar w:fldCharType="separate"/>
          </w:r>
          <w:r>
            <w:rPr>
              <w:rFonts w:ascii="osifont" w:hAnsi="osifont" w:cs="osifont" w:eastAsia="osifont"/>
              <w:sz w:val="19"/>
              <w:szCs w:val="19"/>
            </w:rPr>
            <w:t xml:space="preserve">1</w:t>
          </w:r>
          <w:r>
            <w:rPr>
              <w:rFonts w:ascii="osifont" w:hAnsi="osifont" w:cs="osifont" w:eastAsia="osifont"/>
              <w:sz w:val="19"/>
              <w:szCs w:val="19"/>
            </w:rPr>
            <w:fldChar w:fldCharType="end"/>
          </w:r>
        </w:p>
      </w:tc>
    </w:tr>
    <w:tr>
      <w:trPr>
        <w:cantSplit/>
        <w:trHeight w:val="283" w:hRule="exact"/>
      </w:trPr>
      <w:tc>
        <w:tcPr>
          <w:tcW w:w="39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Изм.</w:t>
          </w: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Лист</w:t>
          </w:r>
        </w:p>
      </w:tc>
      <w:tc>
        <w:tcPr>
          <w:tcW w:w="1304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№ докум.</w:t>
          </w: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Подп.</w:t>
          </w: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</w:tbl>
  <w:p>
    <w:pPr>
      <w:tabs>
        <w:tab w:val="left" w:pos="3969"/>
        <w:tab w:val="left" w:pos="7937"/>
      </w:tabs>
      <w:spacing w:before="0" w:after="0" w:line="198" w:lineRule="exact"/>
      <w:ind w:left="0" w:right="0" w:firstLine="0"/>
      <w:rPr>
        <w:rFonts w:ascii="osifont" w:hAnsi="osifont" w:cs="osifont" w:eastAsia="osifont"/>
        <w:sz w:val="14"/>
        <w:szCs w:val="14"/>
      </w:rPr>
    </w:pPr>
    <w:r>
      <w:rPr>
        <w:rFonts w:ascii="osifont" w:hAnsi="osifont" w:cs="osifont" w:eastAsia="osifont"/>
        <w:sz w:val="14"/>
        <w:szCs w:val="14"/>
      </w:rPr>
      <w:tab/>
      <w:t xml:space="preserve">Копировал</w:t>
      <w:tab/>
      <w:t xml:space="preserve">Формат A4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0" w:lineRule="exact"/>
      <w:ind w:left="0" w:right="0" w:firstLine="0"/>
      <w:rPr>
        <w:sz w:val="2"/>
        <w:szCs w:val="2"/>
      </w:rPr>
    </w:pPr>
    <w:r>
      <w:pict>
        <v:rect id="eskd_frame1025" o:spid="_x0000_s1025" o:allowincell="f" filled="f" strokeweight="1.5pt" style="position:absolute;margin-left:56.69pt;margin-top:14.17pt;width:524.41pt;height:813.54pt;z-index:-251659264;mso-position-horizontal:absolute;mso-position-horizontal-relative:page;mso-position-vertical:absolute;mso-position-vertical-relative:page">
          <w10:wrap anchorx="page" anchory="page"/>
        </v:rect>
      </w:pict>
    </w:r>
    <w:r>
      <w:pict>
        <v:rect id="eskd_side1026" o:spid="_x0000_s1026" o:allowincell="f" filled="f" stroked="f" style="position:absolute;margin-left:21.26pt;margin-top:415.28pt;width:36.85pt;height:415.28pt;z-index:-251657214;mso-position-horizontal:absolute;mso-position-horizontal-relative:page;mso-position-vertical:absolute;mso-position-vertical-relative:page">
          <v:textbox inset="0,0,0,0">
            <w:txbxContent>
              <w:p>
                <w:pPr>
                  <w:spacing w:before="0" w:after="0" w:line="28" w:lineRule="exact"/>
                  <w:ind w:left="0" w:right="0" w:firstLine="0"/>
                  <w:rPr>
                    <w:sz w:val="2"/>
                    <w:szCs w:val="2"/>
                  </w:rPr>
                </w:pPr>
              </w:p>
              <w:tbl>
                <w:tblPr>
                  <w:tblW w:w="680" w:type="dxa"/>
                  <w:tblInd w:w="28" w:type="dxa"/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000" w:firstRow="0" w:lastRow="0" w:firstColumn="0" w:lastColumn="0" w:noHBand="1" w:noVBand="1"/>
                </w:tblPr>
                <w:tblGrid>
                  <w:gridCol w:w="283"/>
                  <w:gridCol w:w="397"/>
                </w:tblGrid>
                <w:tr>
                  <w:trPr>
                    <w:cantSplit/>
                    <w:trHeight w:val="1984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Подп. и дата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Инв. № дубл.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Взам. инв. №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984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Подп. и дата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Инв. № подл.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</w:tbl>
              <w:p>
                <w:pPr>
                  <w:spacing w:before="0" w:after="0" w:line="20" w:lineRule="exact"/>
                  <w:ind w:left="0" w:right="0" w:firstLine="0"/>
                  <w:rPr>
                    <w:sz w:val="2"/>
                    <w:szCs w:val="2"/>
                  </w:rPr>
                </w:pPr>
              </w:p>
            </w:txbxContent>
          </v:textbox>
          <w10:wrap anchorx="page" anchory="page"/>
        </v:rect>
      </w:pict>
    </w:r>
    <w:r>
      <w:pict>
        <v:rect id="eskd_side1027" o:spid="_x0000_s1027" o:allowincell="f" filled="f" stroked="f" style="position:absolute;margin-left:21.26pt;margin-top:12.76pt;width:36.85pt;height:344.41pt;z-index:-251657213;mso-position-horizontal:absolute;mso-position-horizontal-relative:page;mso-position-vertical:absolute;mso-position-vertical-relative:page">
          <v:textbox inset="0,0,0,0">
            <w:txbxContent>
              <w:p>
                <w:pPr>
                  <w:spacing w:before="0" w:after="0" w:line="28" w:lineRule="exact"/>
                  <w:ind w:left="0" w:right="0" w:firstLine="0"/>
                  <w:rPr>
                    <w:sz w:val="2"/>
                    <w:szCs w:val="2"/>
                  </w:rPr>
                </w:pPr>
              </w:p>
              <w:tbl>
                <w:tblPr>
                  <w:tblW w:w="680" w:type="dxa"/>
                  <w:tblInd w:w="28" w:type="dxa"/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000" w:firstRow="0" w:lastRow="0" w:firstColumn="0" w:lastColumn="0" w:noHBand="1" w:noVBand="1"/>
                </w:tblPr>
                <w:tblGrid>
                  <w:gridCol w:w="283"/>
                  <w:gridCol w:w="397"/>
                </w:tblGrid>
                <w:tr>
                  <w:trPr>
                    <w:cantSplit/>
                    <w:trHeight w:val="3402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Перв. примен.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3402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Справ. №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</w:tbl>
              <w:p>
                <w:pPr>
                  <w:spacing w:before="0" w:after="0" w:line="20" w:lineRule="exact"/>
                  <w:ind w:left="0" w:right="0" w:firstLine="0"/>
                  <w:rPr>
                    <w:sz w:val="2"/>
                    <w:szCs w:val="2"/>
                  </w:rPr>
                </w:pPr>
              </w:p>
            </w:txbxContent>
          </v:textbox>
          <w10:wrap anchorx="page" anchory="page"/>
        </v:rect>
      </w:pic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0" w:lineRule="exact"/>
      <w:ind w:left="0" w:right="0" w:firstLine="0"/>
      <w:rPr>
        <w:sz w:val="2"/>
        <w:szCs w:val="2"/>
      </w:rPr>
    </w:pPr>
    <w:r>
      <w:pict>
        <v:rect id="eskd_frame1029" o:spid="_x0000_s1029" o:allowincell="f" filled="f" strokeweight="1.5pt" style="position:absolute;margin-left:56.69pt;margin-top:14.17pt;width:524.41pt;height:813.54pt;z-index:-251659264;mso-position-horizontal:absolute;mso-position-horizontal-relative:page;mso-position-vertical:absolute;mso-position-vertical-relative:page">
          <w10:wrap anchorx="page" anchory="page"/>
        </v:rect>
      </w:pict>
    </w:r>
    <w:r>
      <w:pict>
        <v:rect id="eskd_side1030" o:spid="_x0000_s1030" o:allowincell="f" filled="f" stroked="f" style="position:absolute;margin-left:21.26pt;margin-top:415.28pt;width:36.85pt;height:415.28pt;z-index:-251657210;mso-position-horizontal:absolute;mso-position-horizontal-relative:page;mso-position-vertical:absolute;mso-position-vertical-relative:page">
          <v:textbox inset="0,0,0,0">
            <w:txbxContent>
              <w:p>
                <w:pPr>
                  <w:spacing w:before="0" w:after="0" w:line="28" w:lineRule="exact"/>
                  <w:ind w:left="0" w:right="0" w:firstLine="0"/>
                  <w:rPr>
                    <w:sz w:val="2"/>
                    <w:szCs w:val="2"/>
                  </w:rPr>
                </w:pPr>
              </w:p>
              <w:tbl>
                <w:tblPr>
                  <w:tblW w:w="680" w:type="dxa"/>
                  <w:tblInd w:w="28" w:type="dxa"/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000" w:firstRow="0" w:lastRow="0" w:firstColumn="0" w:lastColumn="0" w:noHBand="1" w:noVBand="1"/>
                </w:tblPr>
                <w:tblGrid>
                  <w:gridCol w:w="283"/>
                  <w:gridCol w:w="397"/>
                </w:tblGrid>
                <w:tr>
                  <w:trPr>
                    <w:cantSplit/>
                    <w:trHeight w:val="1984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Подп. и дата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Инв. № дубл.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Взам. инв. №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984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Подп. и дата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Инв. № подл.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</w:tbl>
              <w:p>
                <w:pPr>
                  <w:spacing w:before="0" w:after="0" w:line="20" w:lineRule="exact"/>
                  <w:ind w:left="0" w:right="0" w:firstLine="0"/>
                  <w:rPr>
                    <w:sz w:val="2"/>
                    <w:szCs w:val="2"/>
                  </w:rPr>
                </w:pPr>
              </w:p>
            </w:txbxContent>
          </v:textbox>
          <w10:wrap anchorx="page" anchory="page"/>
        </v:rect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xmlns:v="urn:schemas-microsoft-com:vml" xmlns:o="urn:schemas-microsoft-com:office:office" xmlns:w10="urn:schemas-microsoft-com:office:word" w:ascii="Times New Roman" w:hAnsi="Times New Roman" w:cs="Times New Roman" w:eastAsia="Times New Roman"/>
        <w:sz w:val="22"/>
        <w:szCs w:val="22"/>
        <w:lang xmlns:v="urn:schemas-microsoft-com:vml" xmlns:o="urn:schemas-microsoft-com:office:office" xmlns:w10="urn:schemas-microsoft-com:office:word" w:val="ru-RU" w:eastAsia="ru-RU" w:bidi="ar-SA"/>
      </w:rPr>
    </w:rPrDefault>
    <w:pPrDefault>
      <w:pPr>
        <w:spacing xmlns:v="urn:schemas-microsoft-com:vml" xmlns:o="urn:schemas-microsoft-com:office:office" xmlns:w10="urn:schemas-microsoft-com:office:word"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xmlns:v="urn:schemas-microsoft-com:vml" xmlns:o="urn:schemas-microsoft-com:office:office" xmlns:w10="urn:schemas-microsoft-com:office:word" w:before="160" w:after="120" w:line="271" w:lineRule="auto"/>
      <w:ind xmlns:v="urn:schemas-microsoft-com:vml" xmlns:o="urn:schemas-microsoft-com:office:office" xmlns:w10="urn:schemas-microsoft-com:office:word" w:firstLine="709"/>
      <w:outlineLvl w:val="0"/>
    </w:pPr>
    <w:rPr>
      <w:rFonts xmlns:v="urn:schemas-microsoft-com:vml" xmlns:o="urn:schemas-microsoft-com:office:office" xmlns:w10="urn:schemas-microsoft-com:office:word" w:ascii="Times New Roman" w:hAnsi="Times New Roman" w:cs="Times New Roman" w:eastAsia="Times New Roman"/>
      <w:b/>
      <w:bCs/>
      <w:color xmlns:v="urn:schemas-microsoft-com:vml" xmlns:o="urn:schemas-microsoft-com:office:office" xmlns:w10="urn:schemas-microsoft-com:office:word" w:val="000000"/>
      <w:sz xmlns:v="urn:schemas-microsoft-com:vml" xmlns:o="urn:schemas-microsoft-com:office:office" xmlns:w10="urn:schemas-microsoft-com:office:word" w:val="28"/>
      <w:szCs xmlns:v="urn:schemas-microsoft-com:vml" xmlns:o="urn:schemas-microsoft-com:office:office" xmlns:w10="urn:schemas-microsoft-com:office:word"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xmlns:v="urn:schemas-microsoft-com:vml" xmlns:o="urn:schemas-microsoft-com:office:office" xmlns:w10="urn:schemas-microsoft-com:office:word" w:before="120" w:after="80" w:line="271" w:lineRule="auto"/>
      <w:ind xmlns:v="urn:schemas-microsoft-com:vml" xmlns:o="urn:schemas-microsoft-com:office:office" xmlns:w10="urn:schemas-microsoft-com:office:word" w:firstLine="709"/>
      <w:outlineLvl w:val="1"/>
    </w:pPr>
    <w:rPr>
      <w:rFonts xmlns:v="urn:schemas-microsoft-com:vml" xmlns:o="urn:schemas-microsoft-com:office:office" xmlns:w10="urn:schemas-microsoft-com:office:word" w:ascii="Times New Roman" w:hAnsi="Times New Roman" w:cs="Times New Roman" w:eastAsia="Times New Roman"/>
      <w:b/>
      <w:bCs/>
      <w:color xmlns:v="urn:schemas-microsoft-com:vml" xmlns:o="urn:schemas-microsoft-com:office:office" xmlns:w10="urn:schemas-microsoft-com:office:word" w:val="000000"/>
      <w:sz xmlns:v="urn:schemas-microsoft-com:vml" xmlns:o="urn:schemas-microsoft-com:office:office" xmlns:w10="urn:schemas-microsoft-com:office:word" w:val="24"/>
      <w:szCs xmlns:v="urn:schemas-microsoft-com:vml" xmlns:o="urn:schemas-microsoft-com:office:office" xmlns:w10="urn:schemas-microsoft-com:office:word"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xmlns:v="urn:schemas-microsoft-com:vml" xmlns:o="urn:schemas-microsoft-com:office:office" xmlns:w10="urn:schemas-microsoft-com:office:word" w:before="80" w:after="60" w:line="271" w:lineRule="auto"/>
      <w:ind xmlns:v="urn:schemas-microsoft-com:vml" xmlns:o="urn:schemas-microsoft-com:office:office" xmlns:w10="urn:schemas-microsoft-com:office:word" w:firstLine="709"/>
      <w:outlineLvl w:val="2"/>
    </w:pPr>
    <w:rPr>
      <w:rFonts xmlns:v="urn:schemas-microsoft-com:vml" xmlns:o="urn:schemas-microsoft-com:office:office" xmlns:w10="urn:schemas-microsoft-com:office:word" w:ascii="Times New Roman" w:hAnsi="Times New Roman" w:cs="Times New Roman" w:eastAsia="Times New Roman"/>
      <w:b/>
      <w:bCs/>
      <w:color xmlns:v="urn:schemas-microsoft-com:vml" xmlns:o="urn:schemas-microsoft-com:office:office" xmlns:w10="urn:schemas-microsoft-com:office:word" w:val="000000"/>
      <w:sz xmlns:v="urn:schemas-microsoft-com:vml" xmlns:o="urn:schemas-microsoft-com:office:office" xmlns:w10="urn:schemas-microsoft-com:office:word" w:val="22"/>
      <w:szCs xmlns:v="urn:schemas-microsoft-com:vml" xmlns:o="urn:schemas-microsoft-com:office:office" xmlns:w10="urn:schemas-microsoft-com:office:word"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skdText">
    <w:name w:val="Текст ЕСКД"/>
    <w:basedOn w:val="Normal"/>
    <w:qFormat/>
    <w:pPr xmlns:v="urn:schemas-microsoft-com:vml" xmlns:o="urn:schemas-microsoft-com:office:office" xmlns:w10="urn:schemas-microsoft-com:office:word">
      <w:spacing w:after="40" w:line="282" w:lineRule="auto"/>
      <w:ind w:firstLine="709"/>
      <w:jc w:val="both"/>
    </w:pPr>
    <w:rPr xmlns:v="urn:schemas-microsoft-com:vml" xmlns:o="urn:schemas-microsoft-com:office:office" xmlns:w10="urn:schemas-microsoft-com:office:word"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</dc:title>
  <dc:subject>ШИВА.468157.001 ПЗ</dc:subject>
  <dc:creator>ООО ШИВА НЕТВОРК</dc:creator>
  <cp:keywords/>
  <dc:description/>
  <cp:lastModifiedBy>ООО ШИВА НЕТВОРК</cp:lastModifiedBy>
  <cp:revision>1</cp:revision>
  <dcterms:created xsi:type="dcterms:W3CDTF">2026-10-01T00:00:00Z</dcterms:created>
  <dcterms:modified xsi:type="dcterms:W3CDTF">2026-10-01T00:00:00Z</dcterms:modified>
  <cp:category/>
</cp:coreProperties>
</file>