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1 Объект испытаний</w:t>
      </w:r>
    </w:p>
    <w:p>
      <w:pPr>
        <w:pStyle w:val="EskdText"/>
      </w:pPr>
      <w:r>
        <w:t xml:space="preserve">1.1 Объект испытаний — опытный образец модуля приёмника ГНСС МГП-8 (ШИВА.468157.001) с конфигурацией ПЛИС и встроенным ПО МК. Версии конфигурации и ПО — по журналу изменений исходных текстов на момент испытаний.</w:t>
      </w:r>
    </w:p>
    <w:p>
      <w:pPr>
        <w:pStyle w:val="EskdText"/>
      </w:pPr>
      <w:r>
        <w:t xml:space="preserve">1.2 Количество образцов: не менее двух. Испытания на воздействие внешних факторов (раздел 7.6) проводятся на одном образце.</w:t>
      </w:r>
    </w:p>
    <w:p>
      <w:pPr>
        <w:pStyle w:val="Heading1"/>
      </w:pPr>
      <w:r>
        <w:t xml:space="preserve">2 Цель испытаний</w:t>
      </w:r>
    </w:p>
    <w:p>
      <w:pPr>
        <w:pStyle w:val="EskdText"/>
      </w:pPr>
      <w:r>
        <w:t xml:space="preserve">2.1 Проверить соответствие опытного образца требованиям технического задания ШИВА.468157.001 ТЗ.</w:t>
      </w:r>
    </w:p>
    <w:p>
      <w:pPr>
        <w:pStyle w:val="EskdText"/>
      </w:pPr>
      <w:r>
        <w:t xml:space="preserve">2.2 По результатам испытаний принимается решение о корректировке документации и о переходе к следующему этапу.</w:t>
      </w:r>
    </w:p>
    <w:p>
      <w:pPr>
        <w:pStyle w:val="Heading1"/>
      </w:pPr>
      <w:r>
        <w:t xml:space="preserve">3 Общие положения</w:t>
      </w:r>
    </w:p>
    <w:p>
      <w:pPr>
        <w:pStyle w:val="EskdText"/>
      </w:pPr>
      <w:r>
        <w:t xml:space="preserve">3.1 Испытания предварительные, проводит разработчик.</w:t>
      </w:r>
    </w:p>
    <w:p>
      <w:pPr>
        <w:pStyle w:val="EskdText"/>
      </w:pPr>
      <w:r>
        <w:t xml:space="preserve">3.2 Нормальные условия испытаний: температура (25 ± 10) °С, относительная влажность 45…80 %, атмосферное давление 84…106,7 кПа. Напряжение питания 5,0 В ± 2 %, если в методике не указано иное.</w:t>
      </w:r>
    </w:p>
    <w:p>
      <w:pPr>
        <w:pStyle w:val="EskdText"/>
      </w:pPr>
      <w:r>
        <w:t xml:space="preserve">3.3 Средства измерений должны быть поверены (откалиброваны). Перед испытаниями калибруется задержка кабелей и делителей в тракте имитатора и в цепи 1PPS.</w:t>
      </w:r>
    </w:p>
    <w:p>
      <w:pPr>
        <w:pStyle w:val="EskdText"/>
      </w:pPr>
      <w:r>
        <w:t xml:space="preserve">3.4 Результаты заносятся в протокол (раздел 8). Испытание прерывается при отказе образца или при несоответствии требованию. Повторное испытание проводится после устранения причины, при этом повторяются все испытания, на которые могло повлиять изменение.</w:t>
      </w:r>
    </w:p>
    <w:p>
      <w:pPr>
        <w:pStyle w:val="Heading1"/>
      </w:pPr>
      <w:r>
        <w:t xml:space="preserve">4 Объём испытаний</w:t>
      </w:r>
    </w:p>
    <w:p>
      <w:pPr>
        <w:pStyle w:val="EskdText"/>
        <w:keepNext/>
        <w:spacing w:before="80" w:after="40" w:line="282" w:lineRule="auto"/>
        <w:ind w:left="0" w:right="0" w:firstLine="0"/>
        <w:jc w:val="left"/>
      </w:pPr>
      <w:r>
        <w:t xml:space="preserve">Таблица 1 — Перечень проверок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783"/>
        <w:gridCol w:w="5483"/>
        <w:gridCol w:w="2089"/>
        <w:gridCol w:w="1566"/>
      </w:tblGrid>
      <w:tr>
        <w:trPr>
          <w:cantSplit/>
          <w:tblHeader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№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Проверка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Пункт ТЗ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Пункт ПМ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Внешний вид, комплектность, маркировка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5.1, 5.10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7.1.1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Габаритные размеры и масса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5.1.3, 5.1.4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7.1.2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Принимаемые сигналы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7.2.1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Число каналов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5.2.2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7.2.2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Чувствительность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5.2.3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7.2.3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Время до первого определения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5.2.4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7.2.4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Погрешность координат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5.2.5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7.2.5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Погрешность скорости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5.2.7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7.2.6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Погрешность привязки 1PPS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5.2.8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7.2.7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Темп выдачи решения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5.2.9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7.2.8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Допустимая динамика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5.2.10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7.2.9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Помехоустойчивость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5.2.11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7.2.10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Выходная информация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5.2.12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7.2.11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Режим синхронизации времени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5.2.13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7.2.12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Калибровка и компенсация задержек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5.2.14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7.2.13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Приём сигналов низкоорбитальных систем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5.2.15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7.2.14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Сравнение с модулем ZED-F9T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5.2.16, 6.2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7.2.15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Интерфейсы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7.3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Электропитание и защита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5.4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7.4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Надёжность (расчётом)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5.5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7.5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Устойчивость к внешним воздействиям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5.6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7.6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ЭМС и собственные помехи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5.7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7.7</w:t>
            </w:r>
          </w:p>
        </w:tc>
      </w:tr>
      <w:tr>
        <w:trPr>
          <w:cantSplit/>
        </w:trPr>
        <w:tc>
          <w:tcPr>
            <w:tcW w:w="7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54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Сборка конфигурации ПЛИС и состав ПО</w:t>
            </w:r>
          </w:p>
        </w:tc>
        <w:tc>
          <w:tcPr>
            <w:tcW w:w="208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5.8.3, 5.9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7.8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Heading1"/>
      </w:pPr>
      <w:r>
        <w:t xml:space="preserve">5 Условия и порядок проведения</w:t>
      </w:r>
    </w:p>
    <w:p>
      <w:pPr>
        <w:pStyle w:val="EskdText"/>
      </w:pPr>
      <w:r>
        <w:t xml:space="preserve">5.1 Испытания проводятся в последовательности таблицы 1. Проверки 3–17 выполняются на имитаторе сигналов ГНСС. Дополнительно проверки 6, 7 и 9 повторяются по реальным сигналам на открытой площадке с геодезически привязанной антенной.</w:t>
      </w:r>
    </w:p>
    <w:p>
      <w:pPr>
        <w:pStyle w:val="EskdText"/>
      </w:pPr>
      <w:r>
        <w:t xml:space="preserve">5.2 Образец подключается к ПК по USB 3.0 (протоколы, отсчёты ПЧ) и по UART порта ГНСС. Измерения регистрируются в файлы NMEA, RTCM и собственного протокола. Обработка выполняется ПО RTKLIB и Pocket SDR и сценариями обработки протоколов на Python.</w:t>
      </w:r>
    </w:p>
    <w:p>
      <w:pPr>
        <w:pStyle w:val="Heading1"/>
      </w:pPr>
      <w:r>
        <w:t xml:space="preserve">6 Материально-техническое обеспечение</w:t>
      </w:r>
    </w:p>
    <w:p>
      <w:pPr>
        <w:pStyle w:val="EskdText"/>
        <w:keepNext/>
        <w:spacing w:before="80" w:after="40" w:line="282" w:lineRule="auto"/>
        <w:ind w:left="0" w:right="0" w:firstLine="0"/>
        <w:jc w:val="left"/>
      </w:pPr>
      <w:r>
        <w:t xml:space="preserve">Таблица 2 — Средства испытаний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1965"/>
        <w:gridCol w:w="7956"/>
      </w:tblGrid>
      <w:tr>
        <w:trPr>
          <w:cantSplit/>
          <w:tblHeader/>
        </w:trPr>
        <w:tc>
          <w:tcPr>
            <w:tcW w:w="196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Средство</w:t>
            </w:r>
          </w:p>
        </w:tc>
        <w:tc>
          <w:tcPr>
            <w:tcW w:w="795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Требования</w:t>
            </w:r>
          </w:p>
        </w:tc>
      </w:tr>
      <w:tr>
        <w:trPr>
          <w:cantSplit/>
        </w:trPr>
        <w:tc>
          <w:tcPr>
            <w:tcW w:w="196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Имитатор сигналов ГНСС</w:t>
            </w:r>
          </w:p>
        </w:tc>
        <w:tc>
          <w:tcPr>
            <w:tcW w:w="795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ГЛОНАСС, GPS, Galileo, BeiDou во всех диапазонах ТЗ; не менее 64 сигналов; динамика по ТЗ п. 5.2.10; погрешность задержки не более 1 нс; выход 1PPS и опоры 10 МГц</w:t>
            </w:r>
          </w:p>
        </w:tc>
      </w:tr>
      <w:tr>
        <w:trPr>
          <w:cantSplit/>
        </w:trPr>
        <w:tc>
          <w:tcPr>
            <w:tcW w:w="196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Генератор сигналов ВЧ</w:t>
            </w:r>
          </w:p>
        </w:tc>
        <w:tc>
          <w:tcPr>
            <w:tcW w:w="795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1100–1650 МГц, непрерывный сигнал, от −130 до −60 дБм</w:t>
            </w:r>
          </w:p>
        </w:tc>
      </w:tr>
      <w:tr>
        <w:trPr>
          <w:cantSplit/>
        </w:trPr>
        <w:tc>
          <w:tcPr>
            <w:tcW w:w="196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Сумматор ВЧ и аттенюаторы</w:t>
            </w:r>
          </w:p>
        </w:tc>
        <w:tc>
          <w:tcPr>
            <w:tcW w:w="795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калиброванные, 1100–1650 МГц</w:t>
            </w:r>
          </w:p>
        </w:tc>
      </w:tr>
      <w:tr>
        <w:trPr>
          <w:cantSplit/>
        </w:trPr>
        <w:tc>
          <w:tcPr>
            <w:tcW w:w="196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Измеритель временных интервалов</w:t>
            </w:r>
          </w:p>
        </w:tc>
        <w:tc>
          <w:tcPr>
            <w:tcW w:w="795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разрешение не хуже 20 пс, не менее двух каналов</w:t>
            </w:r>
          </w:p>
        </w:tc>
      </w:tr>
      <w:tr>
        <w:trPr>
          <w:cantSplit/>
        </w:trPr>
        <w:tc>
          <w:tcPr>
            <w:tcW w:w="196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Генератор векторных сигналов</w:t>
            </w:r>
          </w:p>
        </w:tc>
        <w:tc>
          <w:tcPr>
            <w:tcW w:w="795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1100–1650 МГц, воспроизведение записей I/Q с полосой не менее 25 МГц (сигналы низкоорбитальных систем)</w:t>
            </w:r>
          </w:p>
        </w:tc>
      </w:tr>
      <w:tr>
        <w:trPr>
          <w:cantSplit/>
        </w:trPr>
        <w:tc>
          <w:tcPr>
            <w:tcW w:w="196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Модуль ZED-F9T (u-blox)</w:t>
            </w:r>
          </w:p>
        </w:tc>
        <w:tc>
          <w:tcPr>
            <w:tcW w:w="795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оценочные платы исполнений 00B и 10B — для сравнительных испытаний</w:t>
            </w:r>
          </w:p>
        </w:tc>
      </w:tr>
      <w:tr>
        <w:trPr>
          <w:cantSplit/>
        </w:trPr>
        <w:tc>
          <w:tcPr>
            <w:tcW w:w="196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Делитель ВЧ 1:2</w:t>
            </w:r>
          </w:p>
        </w:tc>
        <w:tc>
          <w:tcPr>
            <w:tcW w:w="795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1100–1650 МГц, развязка выходов не менее 20 дБ</w:t>
            </w:r>
          </w:p>
        </w:tc>
      </w:tr>
      <w:tr>
        <w:trPr>
          <w:cantSplit/>
        </w:trPr>
        <w:tc>
          <w:tcPr>
            <w:tcW w:w="196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Анализатор спектра</w:t>
            </w:r>
          </w:p>
        </w:tc>
        <w:tc>
          <w:tcPr>
            <w:tcW w:w="795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 3 ГГц</w:t>
            </w:r>
          </w:p>
        </w:tc>
      </w:tr>
      <w:tr>
        <w:trPr>
          <w:cantSplit/>
        </w:trPr>
        <w:tc>
          <w:tcPr>
            <w:tcW w:w="196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Осциллограф</w:t>
            </w:r>
          </w:p>
        </w:tc>
        <w:tc>
          <w:tcPr>
            <w:tcW w:w="795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полоса не менее 500 МГц</w:t>
            </w:r>
          </w:p>
        </w:tc>
      </w:tr>
      <w:tr>
        <w:trPr>
          <w:cantSplit/>
        </w:trPr>
        <w:tc>
          <w:tcPr>
            <w:tcW w:w="196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Источник питания</w:t>
            </w:r>
          </w:p>
        </w:tc>
        <w:tc>
          <w:tcPr>
            <w:tcW w:w="795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0–6 В, 2 А, с измерением тока</w:t>
            </w:r>
          </w:p>
        </w:tc>
      </w:tr>
      <w:tr>
        <w:trPr>
          <w:cantSplit/>
        </w:trPr>
        <w:tc>
          <w:tcPr>
            <w:tcW w:w="196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Электронная нагрузка</w:t>
            </w:r>
          </w:p>
        </w:tc>
        <w:tc>
          <w:tcPr>
            <w:tcW w:w="795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ток 0–1 А</w:t>
            </w:r>
          </w:p>
        </w:tc>
      </w:tr>
      <w:tr>
        <w:trPr>
          <w:cantSplit/>
        </w:trPr>
        <w:tc>
          <w:tcPr>
            <w:tcW w:w="196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Климатическая камера</w:t>
            </w:r>
          </w:p>
        </w:tc>
        <w:tc>
          <w:tcPr>
            <w:tcW w:w="795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 −55 до +105 °С</w:t>
            </w:r>
          </w:p>
        </w:tc>
      </w:tr>
      <w:tr>
        <w:trPr>
          <w:cantSplit/>
        </w:trPr>
        <w:tc>
          <w:tcPr>
            <w:tcW w:w="196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Вибростенд, ударный стенд</w:t>
            </w:r>
          </w:p>
        </w:tc>
        <w:tc>
          <w:tcPr>
            <w:tcW w:w="795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ТЗ п. 5.6.3</w:t>
            </w:r>
          </w:p>
        </w:tc>
      </w:tr>
      <w:tr>
        <w:trPr>
          <w:cantSplit/>
        </w:trPr>
        <w:tc>
          <w:tcPr>
            <w:tcW w:w="196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Генератор электростатических разрядов</w:t>
            </w:r>
          </w:p>
        </w:tc>
        <w:tc>
          <w:tcPr>
            <w:tcW w:w="795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ГОСТ 30804.4.2</w:t>
            </w:r>
          </w:p>
        </w:tc>
      </w:tr>
      <w:tr>
        <w:trPr>
          <w:cantSplit/>
        </w:trPr>
        <w:tc>
          <w:tcPr>
            <w:tcW w:w="196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Активная антенна ГНСС</w:t>
            </w:r>
          </w:p>
        </w:tc>
        <w:tc>
          <w:tcPr>
            <w:tcW w:w="795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многочастотная, с геодезически привязанным фазовым центром (для испытаний по реальным сигналам)</w:t>
            </w:r>
          </w:p>
        </w:tc>
      </w:tr>
      <w:tr>
        <w:trPr>
          <w:cantSplit/>
        </w:trPr>
        <w:tc>
          <w:tcPr>
            <w:tcW w:w="196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ПК</w:t>
            </w:r>
          </w:p>
        </w:tc>
        <w:tc>
          <w:tcPr>
            <w:tcW w:w="795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Linux, USB 3.0; ПО Pocket SDR, RTKLIB, Python 3 (pynmeagps, pyrtcm)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Heading1"/>
      </w:pPr>
      <w:r>
        <w:t xml:space="preserve">7 Методы испытаний</w:t>
      </w:r>
    </w:p>
    <w:p>
      <w:pPr>
        <w:pStyle w:val="Heading2"/>
      </w:pPr>
      <w:r>
        <w:t xml:space="preserve">7.1 Конструкция</w:t>
      </w:r>
    </w:p>
    <w:p>
      <w:pPr>
        <w:pStyle w:val="EskdText"/>
      </w:pPr>
      <w:r>
        <w:t xml:space="preserve">7.1.1 Внешний вид, комплектность и маркировка проверяются осмотром на соответствие КД и ТЗ п. 5.10. Проверяется наличие экранирующих крышек ВЧ-каналов.</w:t>
      </w:r>
    </w:p>
    <w:p>
      <w:pPr>
        <w:pStyle w:val="EskdText"/>
      </w:pPr>
      <w:r>
        <w:t xml:space="preserve">7.1.2 Размеры платы измеряются штангенциркулем, высота с экранами — штангенциркулем или высотомером. Масса — на весах с погрешностью не более 0,1 г. Нормы: не более 100 × 75 × 12 мм, не более 80 г.</w:t>
      </w:r>
    </w:p>
    <w:p>
      <w:pPr>
        <w:pStyle w:val="Heading2"/>
      </w:pPr>
      <w:r>
        <w:t xml:space="preserve">7.2 Показатели назначения</w:t>
      </w:r>
    </w:p>
    <w:p>
      <w:pPr>
        <w:pStyle w:val="EskdText"/>
      </w:pPr>
      <w:r>
        <w:t xml:space="preserve">7.2.1 </w:t>
      </w:r>
      <w:r>
        <w:rPr>
          <w:b/>
          <w:bCs/>
        </w:rPr>
        <w:t xml:space="preserve">Принимаемые сигналы.</w:t>
      </w:r>
      <w:r>
        <w:t xml:space="preserve"> На имитаторе по очереди задаются сценарии с сигналами каждой строки таблицы 1 ТЗ. Мощность — минимальная гарантированная по ИКД. Для каждого сигнала проверяется: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захват за время не более 60 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непрерывное слежение в течение 10 мин;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C/N0 в протоколе в пределах ±3 дБ от расчётного значения (ПЗ, таблица энергетики).</w:t>
      </w:r>
    </w:p>
    <w:p>
      <w:pPr>
        <w:pStyle w:val="EskdText"/>
      </w:pPr>
      <w:r>
        <w:t xml:space="preserve">Результат положительный, если требования выполнены для всех сигналов.</w:t>
      </w:r>
    </w:p>
    <w:p>
      <w:pPr>
        <w:pStyle w:val="EskdText"/>
      </w:pPr>
      <w:r>
        <w:t xml:space="preserve">7.2.2 </w:t>
      </w:r>
      <w:r>
        <w:rPr>
          <w:b/>
          <w:bCs/>
        </w:rPr>
        <w:t xml:space="preserve">Число каналов.</w:t>
      </w:r>
      <w:r>
        <w:t xml:space="preserve"> Задаётся сценарий, в котором одновременно видно не менее 64 сигналов (все системы, все диапазоны). Конфигурация каналов приёмника — полная. Результат положительный, если в течение 10 мин одновременно сопровождается не менее 64 сигналов, что подтверждается сообщением состояния каналов.</w:t>
      </w:r>
    </w:p>
    <w:p>
      <w:pPr>
        <w:pStyle w:val="EskdText"/>
      </w:pPr>
      <w:r>
        <w:t xml:space="preserve">7.2.3 </w:t>
      </w:r>
      <w:r>
        <w:rPr>
          <w:b/>
          <w:bCs/>
        </w:rPr>
        <w:t xml:space="preserve">Чувствительность.</w:t>
      </w:r>
      <w:r>
        <w:t xml:space="preserve"> Уровень сигнала на входе задаётся мощностью имитатора с учётом калиброванных потерь тракта. Коэффициент шума антенны и потери кабеля учитываются пересчётом по ПЗ.</w:t>
      </w:r>
    </w:p>
    <w:p>
      <w:pPr>
        <w:pStyle w:val="EskdText"/>
      </w:pPr>
      <w:r>
        <w:t xml:space="preserve">а) Захват (холодный старт): все сигналы −142 дБм, сброс приёмника с очисткой памяти (эфемериды, альманах, время, координаты). Норма: захват не менее четырёх КА за время не более 10 мин.</w:t>
      </w:r>
    </w:p>
    <w:p>
      <w:pPr>
        <w:pStyle w:val="EskdText"/>
      </w:pPr>
      <w:r>
        <w:t xml:space="preserve">б) Повторный захват: после захвата уровень снижается до −147 дБм, сигнал прерывается на 30 с и восстанавливается. Норма: повторный захват не менее четырёх КА за время не более 30 с.</w:t>
      </w:r>
    </w:p>
    <w:p>
      <w:pPr>
        <w:pStyle w:val="EskdText"/>
      </w:pPr>
      <w:r>
        <w:t xml:space="preserve">в) Слежение: после захвата уровень пилотных компонент снижается ступенями по 1 дБ до −150 дБм с выдержкой 1 мин. Норма: слежение по пилотным компонентам без срывов в течение 10 мин.</w:t>
      </w:r>
    </w:p>
    <w:p>
      <w:pPr>
        <w:pStyle w:val="EskdText"/>
      </w:pPr>
      <w:r>
        <w:t xml:space="preserve">7.2.4 </w:t>
      </w:r>
      <w:r>
        <w:rPr>
          <w:b/>
          <w:bCs/>
        </w:rPr>
        <w:t xml:space="preserve">Время до первого определения.</w:t>
      </w:r>
      <w:r>
        <w:t xml:space="preserve"> Открытое небо (−130 дБм), многосистемный режим, по 20 пусков каждого вида. ВПО — время от подачи команды до первого сообщения GGA с признаком решения.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1715"/>
        <w:gridCol w:w="7104"/>
        <w:gridCol w:w="1102"/>
      </w:tblGrid>
      <w:tr>
        <w:trPr>
          <w:cantSplit/>
          <w:tblHeader/>
        </w:trPr>
        <w:tc>
          <w:tcPr>
            <w:tcW w:w="171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Вид старта</w:t>
            </w:r>
          </w:p>
        </w:tc>
        <w:tc>
          <w:tcPr>
            <w:tcW w:w="710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Условия перед пуском</w:t>
            </w:r>
          </w:p>
        </w:tc>
        <w:tc>
          <w:tcPr>
            <w:tcW w:w="110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Норма</w:t>
            </w:r>
          </w:p>
        </w:tc>
      </w:tr>
      <w:tr>
        <w:trPr>
          <w:cantSplit/>
        </w:trPr>
        <w:tc>
          <w:tcPr>
            <w:tcW w:w="171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Холодный</w:t>
            </w:r>
          </w:p>
        </w:tc>
        <w:tc>
          <w:tcPr>
            <w:tcW w:w="710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очистка всей памяти</w:t>
            </w:r>
          </w:p>
        </w:tc>
        <w:tc>
          <w:tcPr>
            <w:tcW w:w="110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45 с</w:t>
            </w:r>
          </w:p>
        </w:tc>
      </w:tr>
      <w:tr>
        <w:trPr>
          <w:cantSplit/>
        </w:trPr>
        <w:tc>
          <w:tcPr>
            <w:tcW w:w="171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Тёплый</w:t>
            </w:r>
          </w:p>
        </w:tc>
        <w:tc>
          <w:tcPr>
            <w:tcW w:w="710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сохранены время (±2 с), координаты (±100 км), альманах</w:t>
            </w:r>
          </w:p>
        </w:tc>
        <w:tc>
          <w:tcPr>
            <w:tcW w:w="110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с</w:t>
            </w:r>
          </w:p>
        </w:tc>
      </w:tr>
      <w:tr>
        <w:trPr>
          <w:cantSplit/>
        </w:trPr>
        <w:tc>
          <w:tcPr>
            <w:tcW w:w="171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Горячий</w:t>
            </w:r>
          </w:p>
        </w:tc>
        <w:tc>
          <w:tcPr>
            <w:tcW w:w="710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сохранены также действующие эфемериды</w:t>
            </w:r>
          </w:p>
        </w:tc>
        <w:tc>
          <w:tcPr>
            <w:tcW w:w="110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с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Результат положительный, если норма выполнена не менее чем в 18 пусках из 20.</w:t>
      </w:r>
    </w:p>
    <w:p>
      <w:pPr>
        <w:pStyle w:val="EskdText"/>
      </w:pPr>
      <w:r>
        <w:t xml:space="preserve">7.2.5 </w:t>
      </w:r>
      <w:r>
        <w:rPr>
          <w:b/>
          <w:bCs/>
        </w:rPr>
        <w:t xml:space="preserve">Погрешность координат.</w:t>
      </w:r>
      <w:r>
        <w:t xml:space="preserve"> Статический сценарий 24 ч, PDOP ≤ 2, двухчастотный режим, решение 1 Гц. Отклонения от заданных координат в плане и по высоте вычисляются по выборке без первых 10 мин; определяется уровень 0,95. Нормы: 2,5 м в плане, 4 м по высоте. Испытание повторяется по реальным сигналам (24 ч, привязанная антенна) для справки.</w:t>
      </w:r>
    </w:p>
    <w:p>
      <w:pPr>
        <w:pStyle w:val="EskdText"/>
      </w:pPr>
      <w:r>
        <w:t xml:space="preserve">7.2.6 </w:t>
      </w:r>
      <w:r>
        <w:rPr>
          <w:b/>
          <w:bCs/>
        </w:rPr>
        <w:t xml:space="preserve">Погрешность скорости.</w:t>
      </w:r>
      <w:r>
        <w:t xml:space="preserve"> Сценарий с равномерным и криволинейным движением (скорость 10–300 м/с), 1 ч. СКО разности выданной и заданной скорости по каждой оси должно быть не более 0,05 м/с.</w:t>
      </w:r>
    </w:p>
    <w:p>
      <w:pPr>
        <w:pStyle w:val="EskdText"/>
      </w:pPr>
      <w:r>
        <w:t xml:space="preserve">7.2.7 </w:t>
      </w:r>
      <w:r>
        <w:rPr>
          <w:b/>
          <w:bCs/>
        </w:rPr>
        <w:t xml:space="preserve">Погрешность привязки 1PPS.</w:t>
      </w:r>
    </w:p>
    <w:p>
      <w:pPr>
        <w:pStyle w:val="EskdText"/>
      </w:pPr>
      <w:r>
        <w:t xml:space="preserve">Схема: выход 1PPS имитатора подаётся на канал «старт», выход 1PPS образца — на канал «стоп» измерителя интервалов. Задержки кабелей калибруются и вводятся в образец как задержка антенного кабеля. Групповые задержки тракта берутся из заводской калибровки образца (7.2.13).</w:t>
      </w:r>
    </w:p>
    <w:p>
      <w:pPr>
        <w:pStyle w:val="EskdText"/>
      </w:pPr>
      <w:r>
        <w:t xml:space="preserve">Измерение: 1 ч, статический сценарий, режим синхронизации времени по фиксированным координатам, шкала GPST, затем UTC(SU). Затем 1 ч в навигационном режиме по сценарию с движением. По каждому импульсу вычисляются ошибка без коррекции и ошибка с поправкой qErr (из сообщения, предшествующего импульсу). Определяется СКО.</w:t>
      </w:r>
    </w:p>
    <w:p>
      <w:pPr>
        <w:pStyle w:val="EskdText"/>
      </w:pPr>
      <w:r>
        <w:t xml:space="preserve">Нормы: в режиме синхронизации времени — 5 нс без коррекции, 4 нс с коррекцией; в навигационном режиме — 10 нс с коррекцией. Взаимная погрешность двух образцов в дифференциальном режиме (2,5 нс) проверяется на втором этапе ОКР.</w:t>
      </w:r>
    </w:p>
    <w:p>
      <w:pPr>
        <w:pStyle w:val="EskdText"/>
      </w:pPr>
      <w:r>
        <w:t xml:space="preserve">7.2.8 </w:t>
      </w:r>
      <w:r>
        <w:rPr>
          <w:b/>
          <w:bCs/>
        </w:rPr>
        <w:t xml:space="preserve">Темп выдачи решения.</w:t>
      </w:r>
      <w:r>
        <w:t xml:space="preserve"> По очереди задаются темпы 1, 2, 5, 10 и 20 Гц. Интервал между последовательными сообщениями GGA определяется по метке времени и по времени прихода на ПК в течение 10 мин. Пропуски не допускаются.</w:t>
      </w:r>
    </w:p>
    <w:p>
      <w:pPr>
        <w:pStyle w:val="EskdText"/>
      </w:pPr>
      <w:r>
        <w:t xml:space="preserve">7.2.9 </w:t>
      </w:r>
      <w:r>
        <w:rPr>
          <w:b/>
          <w:bCs/>
        </w:rPr>
        <w:t xml:space="preserve">Допустимая динамика.</w:t>
      </w:r>
      <w:r>
        <w:t xml:space="preserve"> Сценарий: разгон до 500 м/с, манёвры с ускорением 4g и рывком 2g/с, мощность сигналов −130 дБм. Норма: отсутствие срывов слежения и непрерывность решения.</w:t>
      </w:r>
    </w:p>
    <w:p>
      <w:pPr>
        <w:pStyle w:val="EskdText"/>
      </w:pPr>
      <w:r>
        <w:t xml:space="preserve">7.2.10 </w:t>
      </w:r>
      <w:r>
        <w:rPr>
          <w:b/>
          <w:bCs/>
        </w:rPr>
        <w:t xml:space="preserve">Помехоустойчивость.</w:t>
      </w:r>
    </w:p>
    <w:p>
      <w:pPr>
        <w:pStyle w:val="EskdText"/>
      </w:pPr>
      <w:r>
        <w:t xml:space="preserve">Схема: непрерывный сигнал генератора ВЧ складывается с сигналом имитатора (сценарий GPS L1, мощность сигналов −130 дБм). Частота помехи — в полосе L1: 1575,42 МГц + 1,05 кГц (вблизи спектральной линии кода C/A) и 1575,42 МГц + 2 МГц.</w:t>
      </w:r>
    </w:p>
    <w:p>
      <w:pPr>
        <w:pStyle w:val="EskdText"/>
      </w:pPr>
      <w:r>
        <w:t xml:space="preserve">Порядок:</w:t>
      </w:r>
    </w:p>
    <w:p>
      <w:pPr>
        <w:pStyle w:val="EskdText"/>
      </w:pPr>
      <w:r>
        <w:t xml:space="preserve">а) Обнаружение: мощность помехи повышается от J/S = 0 дБ. Норма: помеха обнаружена (сообщение состояния спектра) не позднее J/S = 10 дБ, частота определена с погрешностью не более 100 Гц.</w:t>
      </w:r>
    </w:p>
    <w:p>
      <w:pPr>
        <w:pStyle w:val="EskdText"/>
      </w:pPr>
      <w:r>
        <w:t xml:space="preserve">б) Подавление: J/S = 25 дБ, затем 40 дБ. Помеха выдерживается 10 мин при включённом режекторном фильтре. Нормы: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при 25 дБ — слежение по всем КА сохраняется, снижение C/N0 не более 3 дБ;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при 40 дБ — для справки (расчёт: снижение не более 5 дБ).</w:t>
      </w:r>
    </w:p>
    <w:p>
      <w:pPr>
        <w:pStyle w:val="EskdText"/>
      </w:pPr>
      <w:r>
        <w:t xml:space="preserve">в) Для сравнения то же повторяется с выключенным фильтром.</w:t>
      </w:r>
    </w:p>
    <w:p>
      <w:pPr>
        <w:pStyle w:val="EskdText"/>
      </w:pPr>
      <w:r>
        <w:t xml:space="preserve">7.2.11 </w:t>
      </w:r>
      <w:r>
        <w:rPr>
          <w:b/>
          <w:bCs/>
        </w:rPr>
        <w:t xml:space="preserve">Выходная информация.</w:t>
      </w:r>
    </w:p>
    <w:p>
      <w:pPr>
        <w:pStyle w:val="EskdText"/>
      </w:pPr>
      <w:r>
        <w:t xml:space="preserve">а) NMEA: протокол 1 ч разбирается независимым декодером (pynmeagps). Ошибки контрольных сумм и формата не допускаются. Проверяется наличие GGA, RMC, GSA, GSV, GST и ZDA.</w:t>
      </w:r>
    </w:p>
    <w:p>
      <w:pPr>
        <w:pStyle w:val="EskdText"/>
      </w:pPr>
      <w:r>
        <w:t xml:space="preserve">б) RTCM 3.3: поток MSM7 и 1005 преобразуется в RINEX программой convbin (RTKLIB). Ошибок CRC нет; псевдодальности и фазы согласуются с собственным протоколом.</w:t>
      </w:r>
    </w:p>
    <w:p>
      <w:pPr>
        <w:pStyle w:val="EskdText"/>
      </w:pPr>
      <w:r>
        <w:t xml:space="preserve">в) Собственный двоичный протокол: поток 1 ч разбирается декодером по описанию сообщений (</w:t>
      </w:r>
      <w:r>
        <w:rPr>
          <w:rFonts w:ascii="Courier New" w:hAnsi="Courier New" w:cs="Courier New" w:eastAsia="Courier New"/>
        </w:rPr>
        <w:t xml:space="preserve">sw/fw/inc/proto.h</w:t>
      </w:r>
      <w:r>
        <w:t xml:space="preserve">). Ошибок CRC нет; решение, измерения и эфемериды согласуются с NMEA и RTCM; сообщения состояния каналов и ИТМ выдаются с заданным темпом.</w:t>
      </w:r>
    </w:p>
    <w:p>
      <w:pPr>
        <w:pStyle w:val="EskdText"/>
      </w:pPr>
      <w:r>
        <w:t xml:space="preserve">г) Отсчёты ПЧ: запись 60 с по USB 3.0 в формате Pocket SDR FE 8CH обрабатывается ПО Pocket SDR (pocket_acq, pocket_trk). Норма: захват и слежение во всех восьми ВЧ-каналах, отсутствие пропусков данных (по счётчику пакетов).</w:t>
      </w:r>
    </w:p>
    <w:p>
      <w:pPr>
        <w:pStyle w:val="EskdText"/>
      </w:pPr>
      <w:r>
        <w:t xml:space="preserve">7.2.12 </w:t>
      </w:r>
      <w:r>
        <w:rPr>
          <w:b/>
          <w:bCs/>
        </w:rPr>
        <w:t xml:space="preserve">Режим синхронизации времени.</w:t>
      </w:r>
      <w:r>
        <w:t xml:space="preserve"> Статический сценарий, сигналы −130 дБм.</w:t>
      </w:r>
    </w:p>
    <w:p>
      <w:pPr>
        <w:pStyle w:val="EskdText"/>
      </w:pPr>
      <w:r>
        <w:t xml:space="preserve">а) Survey-in: минимальное время 300 с, предельная погрешность 2 м. Норма: переход к фиксированным координатам после выполнения обоих условий; погрешность координат не более заданной.</w:t>
      </w:r>
    </w:p>
    <w:p>
      <w:pPr>
        <w:pStyle w:val="EskdText"/>
      </w:pPr>
      <w:r>
        <w:t xml:space="preserve">б) Фиксированные координаты: имитатор поочерёдно выключает сигналы, пока не останется один КА. Норма: решение времени и выдача 1PPS продолжаются, в протоколе — число используемых КА.</w:t>
      </w:r>
    </w:p>
    <w:p>
      <w:pPr>
        <w:pStyle w:val="EskdText"/>
      </w:pPr>
      <w:r>
        <w:t xml:space="preserve">в) T-RAIM: в сигнал одного КА вводится скачок псевдодальности 30 м. Норма: измерение исключается, 1PPS остаётся в пределах норм 7.2.7, в протоколе — признак исключения и оценка погрешности времени.</w:t>
      </w:r>
    </w:p>
    <w:p>
      <w:pPr>
        <w:pStyle w:val="EskdText"/>
      </w:pPr>
      <w:r>
        <w:t xml:space="preserve">г) Удержание: все сигналы выключаются на 10 мин, сначала при работе от ТКГ, затем от опоры 10 МГц имитатора. Норма: 1PPS выдаётся с признаком «удержание» и оценкой ухода; при заданном времени удержания выдача прекращается по его истечении.</w:t>
      </w:r>
    </w:p>
    <w:p>
      <w:pPr>
        <w:pStyle w:val="EskdText"/>
      </w:pPr>
      <w:r>
        <w:t xml:space="preserve">д) Поправка qErr: осциллограф с декодированием UART. Норма: сообщение с поправкой выдаётся до соответствующего импульса 1PPS.</w:t>
      </w:r>
    </w:p>
    <w:p>
      <w:pPr>
        <w:pStyle w:val="EskdText"/>
      </w:pPr>
      <w:r>
        <w:t xml:space="preserve">7.2.13 </w:t>
      </w:r>
      <w:r>
        <w:rPr>
          <w:b/>
          <w:bCs/>
        </w:rPr>
        <w:t xml:space="preserve">Калибровка и компенсация задержек.</w:t>
      </w:r>
    </w:p>
    <w:p>
      <w:pPr>
        <w:pStyle w:val="EskdText"/>
      </w:pPr>
      <w:r>
        <w:t xml:space="preserve">а) Задержка кабеля, заданная пользователем, меняется на +100 нс, затем на −100 нс. Норма: смещение 1PPS по измерителю интервалов равно заданному с погрешностью не более 0,5 нс.</w:t>
      </w:r>
    </w:p>
    <w:p>
      <w:pPr>
        <w:pStyle w:val="EskdText"/>
      </w:pPr>
      <w:r>
        <w:t xml:space="preserve">б) Температурная зависимость: образец — в климатической камере, имитатор — снаружи. Температура меняется от −40 до +85 °С ступенями по 25 °С с выдержкой 30 мин. На каждой ступени измеряются ошибка 1PPS с коррекцией по 7.2.7 и задержки кода по каждому ВЧ-каналу относительно имитатора. Норма: остаточная погрешность компенсации задержки тракта — не более 2 нс (СКО по всем ступеням).</w:t>
      </w:r>
    </w:p>
    <w:p>
      <w:pPr>
        <w:pStyle w:val="EskdText"/>
      </w:pPr>
      <w:r>
        <w:t xml:space="preserve">7.2.14 </w:t>
      </w:r>
      <w:r>
        <w:rPr>
          <w:b/>
          <w:bCs/>
        </w:rPr>
        <w:t xml:space="preserve">Приём сигналов низкоорбитальных систем.</w:t>
      </w:r>
      <w:r>
        <w:t xml:space="preserve"> Сигнал формируется имитатором эталонного ПО (Python) и воспроизводится генератором векторных сигналов: код из памяти длиной 10 230 элементов, 1,023 Мчип/с, C/N0 45 дБГц. Доплеровский сдвиг меняется от +50 до −50 кГц со скоростью 1 кГц/с. ВЧ-канал 8 перестраивается командой на частоты 1165, 1285, 1530 и 1605 МГц, код загружается командой. Нормы на каждой частоте: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захват при начальном доплеровском сдвиге −50, 0 и +50 кГц;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слежение без срывов на всём пролёте;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измерения выдаются в собственном протоколе.</w:t>
      </w:r>
    </w:p>
    <w:p>
      <w:pPr>
        <w:pStyle w:val="EskdText"/>
      </w:pPr>
      <w:r>
        <w:t xml:space="preserve">7.2.15 </w:t>
      </w:r>
      <w:r>
        <w:rPr>
          <w:b/>
          <w:bCs/>
        </w:rPr>
        <w:t xml:space="preserve">Сравнение с модулем ZED-F9T.</w:t>
      </w:r>
      <w:r>
        <w:t xml:space="preserve"> Образец и модуль ZED-F9T подключаются через делитель 1:2 к имитатору, затем к антенне на открытой площадке. Исполнение ZED-F9T соответствует сценарию (00B — L1 + L2, 10B — L1 + L5). Показатели таблицы 2 ТЗ определяются одновременно для обоих изделий по методам 7.2.3 (чувствительность), 7.2.4 (ВПО, 20 холодных стартов), 7.2.7 (1PPS) и 7.3.4 (метка EXTINT; один импульс на оба входа). Результат — сравнительная таблица в протоколе. Целевые значения оцениваются, нормами не являются.</w:t>
      </w:r>
    </w:p>
    <w:p>
      <w:pPr>
        <w:pStyle w:val="Heading2"/>
      </w:pPr>
      <w:r>
        <w:t xml:space="preserve">7.3 Интерфейсы</w:t>
      </w:r>
    </w:p>
    <w:p>
      <w:pPr>
        <w:pStyle w:val="EskdText"/>
      </w:pPr>
      <w:r>
        <w:t xml:space="preserve">7.3.1 </w:t>
      </w:r>
      <w:r>
        <w:rPr>
          <w:b/>
          <w:bCs/>
        </w:rPr>
        <w:t xml:space="preserve">Антенный вход.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1626"/>
        <w:gridCol w:w="5422"/>
        <w:gridCol w:w="2873"/>
      </w:tblGrid>
      <w:tr>
        <w:trPr>
          <w:cantSplit/>
          <w:tblHeader/>
        </w:trPr>
        <w:tc>
          <w:tcPr>
            <w:tcW w:w="162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Параметр</w:t>
            </w:r>
          </w:p>
        </w:tc>
        <w:tc>
          <w:tcPr>
            <w:tcW w:w="542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Метод</w:t>
            </w:r>
          </w:p>
        </w:tc>
        <w:tc>
          <w:tcPr>
            <w:tcW w:w="287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Норма</w:t>
            </w:r>
          </w:p>
        </w:tc>
      </w:tr>
      <w:tr>
        <w:trPr>
          <w:cantSplit/>
        </w:trPr>
        <w:tc>
          <w:tcPr>
            <w:tcW w:w="162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Напряжение питания антенны</w:t>
            </w:r>
          </w:p>
        </w:tc>
        <w:tc>
          <w:tcPr>
            <w:tcW w:w="542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 токе 30 и 80 мА (электронная нагрузка через тройник)</w:t>
            </w:r>
          </w:p>
        </w:tc>
        <w:tc>
          <w:tcPr>
            <w:tcW w:w="287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В ± 5 % (3,3 В ± 5 % в исполнении с перемычкой)</w:t>
            </w:r>
          </w:p>
        </w:tc>
      </w:tr>
      <w:tr>
        <w:trPr>
          <w:cantSplit/>
        </w:trPr>
        <w:tc>
          <w:tcPr>
            <w:tcW w:w="162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Порог защиты</w:t>
            </w:r>
          </w:p>
        </w:tc>
        <w:tc>
          <w:tcPr>
            <w:tcW w:w="542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ток нагрузки повышается ступенями по 2 мА</w:t>
            </w:r>
          </w:p>
        </w:tc>
        <w:tc>
          <w:tcPr>
            <w:tcW w:w="287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отключение при 100 мА ± 10 %</w:t>
            </w:r>
          </w:p>
        </w:tc>
      </w:tr>
      <w:tr>
        <w:trPr>
          <w:cantSplit/>
        </w:trPr>
        <w:tc>
          <w:tcPr>
            <w:tcW w:w="162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Время отключения при КЗ</w:t>
            </w:r>
          </w:p>
        </w:tc>
        <w:tc>
          <w:tcPr>
            <w:tcW w:w="542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осциллограф</w:t>
            </w:r>
          </w:p>
        </w:tc>
        <w:tc>
          <w:tcPr>
            <w:tcW w:w="287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более 1 мс</w:t>
            </w:r>
          </w:p>
        </w:tc>
      </w:tr>
      <w:tr>
        <w:trPr>
          <w:cantSplit/>
        </w:trPr>
        <w:tc>
          <w:tcPr>
            <w:tcW w:w="162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Индикация состояния</w:t>
            </w:r>
          </w:p>
        </w:tc>
        <w:tc>
          <w:tcPr>
            <w:tcW w:w="542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«обрыв» (ток &lt; 5 мА), «норма», «КЗ» — проверяется в протоколе</w:t>
            </w:r>
          </w:p>
        </w:tc>
        <w:tc>
          <w:tcPr>
            <w:tcW w:w="287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w="162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Резервная защита</w:t>
            </w:r>
          </w:p>
        </w:tc>
        <w:tc>
          <w:tcPr>
            <w:tcW w:w="542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 отключённой программной защите (технологический режим) ток КЗ ограничивается предохранителем</w:t>
            </w:r>
          </w:p>
        </w:tc>
        <w:tc>
          <w:tcPr>
            <w:tcW w:w="287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срабатывает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7.3.2 </w:t>
      </w:r>
      <w:r>
        <w:rPr>
          <w:b/>
          <w:bCs/>
        </w:rPr>
        <w:t xml:space="preserve">Выход 1PPS.</w:t>
      </w:r>
      <w:r>
        <w:t xml:space="preserve"> Осциллограф, нагрузки 50 Ом и 1 МОм. Нормы: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уровень КМОП 3,3 В на высокоомной нагрузке;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длительность импульса от 1 мкс до 500 мс задаётся командой, погрешность не более 10 нс;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полярность переключается.</w:t>
      </w:r>
    </w:p>
    <w:p>
      <w:pPr>
        <w:pStyle w:val="EskdText"/>
      </w:pPr>
      <w:r>
        <w:t xml:space="preserve">7.3.3 </w:t>
      </w:r>
      <w:r>
        <w:rPr>
          <w:b/>
          <w:bCs/>
        </w:rPr>
        <w:t xml:space="preserve">Вход опоры.</w:t>
      </w:r>
      <w:r>
        <w:t xml:space="preserve"> Синусоида 10 МГц от 0 до +13 дБм, затем 1PPS КМОП. Норма: опора захватывается (сообщение состояния), измерения меток фронтов стабильны.</w:t>
      </w:r>
    </w:p>
    <w:p>
      <w:pPr>
        <w:pStyle w:val="EskdText"/>
      </w:pPr>
      <w:r>
        <w:t xml:space="preserve">7.3.4 </w:t>
      </w:r>
      <w:r>
        <w:rPr>
          <w:b/>
          <w:bCs/>
        </w:rPr>
        <w:t xml:space="preserve">Порты ГНСС, времени, CAN FD.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Порт ГНСС проверяется подключением к полётному контроллеру Pixhawk: приём NMEA или собственного протокола.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Порт времени: вход EXTINT — метка времени события (сравнение с 1PPS имитатора). Норма: дискретность метки не более 8 нс, погрешность не более 10 нс.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CAN FD: приём сообщений DroneCAN анализатором шины.</w:t>
      </w:r>
    </w:p>
    <w:p>
      <w:pPr>
        <w:pStyle w:val="EskdText"/>
      </w:pPr>
      <w:r>
        <w:t xml:space="preserve">7.3.5 </w:t>
      </w:r>
      <w:r>
        <w:rPr>
          <w:b/>
          <w:bCs/>
        </w:rPr>
        <w:t xml:space="preserve">USB 3.0, microSD, технологические разъёмы.</w:t>
      </w:r>
      <w:r>
        <w:t xml:space="preserve"> Проверяются в составе 7.2.11, записью измерений на карту 1 ч и подключением программаторов JTAG и SWD.</w:t>
      </w:r>
    </w:p>
    <w:p>
      <w:pPr>
        <w:pStyle w:val="Heading2"/>
      </w:pPr>
      <w:r>
        <w:t xml:space="preserve">7.4 Электропитание и защита</w:t>
      </w:r>
    </w:p>
    <w:p>
      <w:pPr>
        <w:pStyle w:val="EskdText"/>
      </w:pPr>
      <w:r>
        <w:t xml:space="preserve">7.4.1 </w:t>
      </w:r>
      <w:r>
        <w:rPr>
          <w:b/>
          <w:bCs/>
        </w:rPr>
        <w:t xml:space="preserve">Питание.</w:t>
      </w:r>
      <w:r>
        <w:t xml:space="preserve"> При 4,5; 5,0 и 5,5 В от каждого из трёх входов (USB, порт ГНСС, CAN) проверяется работоспособность и при переключении источников — отсутствие перезапуска. Обратный ток в неподключённые входы — не более 10 мкА (амперметр).</w:t>
      </w:r>
    </w:p>
    <w:p>
      <w:pPr>
        <w:pStyle w:val="EskdText"/>
      </w:pPr>
      <w:r>
        <w:t xml:space="preserve">7.4.2 </w:t>
      </w:r>
      <w:r>
        <w:rPr>
          <w:b/>
          <w:bCs/>
        </w:rPr>
        <w:t xml:space="preserve">Потребляемая мощность.</w:t>
      </w:r>
      <w:r>
        <w:t xml:space="preserve"> Измеряется при 5,0 В без антенны: в навигационном режиме (все восемь каналов) и в режиме выдачи отсчётов по USB 3.0. Норма — не более 3,5 Вт.</w:t>
      </w:r>
    </w:p>
    <w:p>
      <w:pPr>
        <w:pStyle w:val="EskdText"/>
      </w:pPr>
      <w:r>
        <w:t xml:space="preserve">7.4.3 </w:t>
      </w:r>
      <w:r>
        <w:rPr>
          <w:b/>
          <w:bCs/>
        </w:rPr>
        <w:t xml:space="preserve">Защита от ЭСР.</w:t>
      </w:r>
      <w:r>
        <w:t xml:space="preserve"> По ГОСТ 30804.4.2: контактный разряд ±8 кВ на корпуса соединителей и доступные цепи входов питания и интерфейсов. Норма: после воздействия образец работоспособен (проверка 7.2.1 в объёме одного сигнала).</w:t>
      </w:r>
    </w:p>
    <w:p>
      <w:pPr>
        <w:pStyle w:val="Heading2"/>
      </w:pPr>
      <w:r>
        <w:t xml:space="preserve">7.5 Надёжность</w:t>
      </w:r>
    </w:p>
    <w:p>
      <w:pPr>
        <w:pStyle w:val="EskdText"/>
      </w:pPr>
      <w:r>
        <w:t xml:space="preserve">7.5.1 Средняя наработка на отказ подтверждается расчётом (ПЗ, подраздел 5.8). Отказы за время испытаний учитываются в протоколе.</w:t>
      </w:r>
    </w:p>
    <w:p>
      <w:pPr>
        <w:pStyle w:val="Heading2"/>
      </w:pPr>
      <w:r>
        <w:t xml:space="preserve">7.6 Внешние воздействующие факторы</w:t>
      </w:r>
    </w:p>
    <w:p>
      <w:pPr>
        <w:pStyle w:val="EskdText"/>
      </w:pPr>
      <w:r>
        <w:t xml:space="preserve">7.6.1 </w:t>
      </w:r>
      <w:r>
        <w:rPr>
          <w:b/>
          <w:bCs/>
        </w:rPr>
        <w:t xml:space="preserve">Температура.</w:t>
      </w:r>
      <w:r>
        <w:t xml:space="preserve"> Образец в климатической камере выдерживается при −40 и +85 °С по 2 ч в работающем состоянии. В конце выдержки проверяются: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7.2.1 в объёме сигналов L1;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7.2.7 (10 мин).</w:t>
      </w:r>
    </w:p>
    <w:p>
      <w:pPr>
        <w:pStyle w:val="EskdText"/>
      </w:pPr>
      <w:r>
        <w:t xml:space="preserve">Дополнительно при +85 °С проверяются срабатывание снижения частоты МК (сообщение состояния) и отсутствие перезапусков.</w:t>
      </w:r>
    </w:p>
    <w:p>
      <w:pPr>
        <w:pStyle w:val="EskdText"/>
      </w:pPr>
      <w:r>
        <w:t xml:space="preserve">Хранение: выдержка при −55 и +105 °С по 4 ч в выключенном состоянии, затем проверка 7.2.1 в нормальных условиях.</w:t>
      </w:r>
    </w:p>
    <w:p>
      <w:pPr>
        <w:pStyle w:val="EskdText"/>
      </w:pPr>
      <w:r>
        <w:t xml:space="preserve">7.6.2 </w:t>
      </w:r>
      <w:r>
        <w:rPr>
          <w:b/>
          <w:bCs/>
        </w:rPr>
        <w:t xml:space="preserve">Влажность.</w:t>
      </w:r>
      <w:r>
        <w:t xml:space="preserve"> 98 % при 35 °С, 48 ч (образец с влагозащитным покрытием), затем проверка 7.2.1 в объёме сигналов L1.</w:t>
      </w:r>
    </w:p>
    <w:p>
      <w:pPr>
        <w:pStyle w:val="EskdText"/>
      </w:pPr>
      <w:r>
        <w:t xml:space="preserve">7.6.3 </w:t>
      </w:r>
      <w:r>
        <w:rPr>
          <w:b/>
          <w:bCs/>
        </w:rPr>
        <w:t xml:space="preserve">Вибрация и удары.</w:t>
      </w:r>
      <w:r>
        <w:t xml:space="preserve"> Синусоидальная вибрация 10–500 Гц до 5g по трём осям, многократные удары до 15g. Во время вибрации ведётся слежение (сценарий имитатора, −130 дБм). Норма — отсутствие срывов и механических повреждений.</w:t>
      </w:r>
    </w:p>
    <w:p>
      <w:pPr>
        <w:pStyle w:val="Heading2"/>
      </w:pPr>
      <w:r>
        <w:t xml:space="preserve">7.7 ЭМС и собственные помехи</w:t>
      </w:r>
    </w:p>
    <w:p>
      <w:pPr>
        <w:pStyle w:val="EskdText"/>
      </w:pPr>
      <w:r>
        <w:t xml:space="preserve">7.7.1 Помехоэмиссия и помехоустойчивость — по ГОСТ CISPR 32 (класс B) и ГОСТ CISPR 35 в аккредитованной лаборатории.</w:t>
      </w:r>
    </w:p>
    <w:p>
      <w:pPr>
        <w:pStyle w:val="EskdText"/>
      </w:pPr>
      <w:r>
        <w:t xml:space="preserve">7.7.2 Влияние собственных помех на приём (ТЗ п. 5.7.2). На имитаторе (−130 дБм) средние C/N0 по каждому ВЧ-каналу измеряются за 10 мин в двух режимах: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минимальная активность: USB отключён, запись на карту выключена;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максимальная активность: выдача отсчётов по USB 3.0, запись на карту, обмен по CAN.</w:t>
      </w:r>
    </w:p>
    <w:p>
      <w:pPr>
        <w:pStyle w:val="EskdText"/>
      </w:pPr>
      <w:r>
        <w:t xml:space="preserve">Режекторный фильтр выключен. Норма — разность не более 0,5 дБ.</w:t>
      </w:r>
    </w:p>
    <w:p>
      <w:pPr>
        <w:pStyle w:val="Heading2"/>
      </w:pPr>
      <w:r>
        <w:t xml:space="preserve">7.8 ПО и конфигурация ПЛИС</w:t>
      </w:r>
    </w:p>
    <w:p>
      <w:pPr>
        <w:pStyle w:val="EskdText"/>
      </w:pPr>
      <w:r>
        <w:t xml:space="preserve">7.8.1 Конфигурация ПЛИС собирается из исходных текстов открытыми средствами (</w:t>
      </w:r>
      <w:r>
        <w:rPr>
          <w:rFonts w:ascii="Courier New" w:hAnsi="Courier New" w:cs="Courier New" w:eastAsia="Courier New"/>
        </w:rPr>
        <w:t xml:space="preserve">make -C fpga syn</w:t>
      </w:r>
      <w:r>
        <w:t xml:space="preserve">) на чистой системе. Проверяется отчёт о времянке: требование 96 МГц выполнено. Полученный файл загружается в образец, проверка 7.2.1 выполняется в объёме одного сигнала.</w:t>
      </w:r>
    </w:p>
    <w:p>
      <w:pPr>
        <w:pStyle w:val="EskdText"/>
      </w:pPr>
      <w:r>
        <w:t xml:space="preserve">7.8.2 Выполняются тесты из состава исходных текстов: </w:t>
      </w:r>
      <w:r>
        <w:rPr>
          <w:rFonts w:ascii="Courier New" w:hAnsi="Courier New" w:cs="Courier New" w:eastAsia="Courier New"/>
        </w:rPr>
        <w:t xml:space="preserve">make -C fpga sim</w:t>
      </w:r>
      <w:r>
        <w:t xml:space="preserve">, </w:t>
      </w:r>
      <w:r>
        <w:rPr>
          <w:rFonts w:ascii="Courier New" w:hAnsi="Courier New" w:cs="Courier New" w:eastAsia="Courier New"/>
        </w:rPr>
        <w:t xml:space="preserve">make -C sw/fw test test-long</w:t>
      </w:r>
      <w:r>
        <w:t xml:space="preserve">. Норма — все тесты пройдены.</w:t>
      </w:r>
    </w:p>
    <w:p>
      <w:pPr>
        <w:pStyle w:val="EskdText"/>
      </w:pPr>
      <w:r>
        <w:t xml:space="preserve">7.8.3 Обновление ПО МК и конфигурации ПЛИС выполняется через USB, затем через UART, без вскрытия образца. Норма — образец работоспособен после обновления, версии в сообщении состояния соответствуют загруженным.</w:t>
      </w:r>
    </w:p>
    <w:p>
      <w:pPr>
        <w:pStyle w:val="Heading1"/>
      </w:pPr>
      <w:r>
        <w:t xml:space="preserve">8 Отчётность</w:t>
      </w:r>
    </w:p>
    <w:p>
      <w:pPr>
        <w:pStyle w:val="EskdText"/>
      </w:pPr>
      <w:r>
        <w:t xml:space="preserve">8.1 По результатам испытаний оформляется протокол. Для каждой проверки по таблице 1 в нём указываются: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условия и средства измерений;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результаты и вывод о соответствии.</w:t>
      </w:r>
    </w:p>
    <w:p>
      <w:pPr>
        <w:pStyle w:val="EskdText"/>
      </w:pPr>
      <w:r>
        <w:t xml:space="preserve">К протоколу прилагаются файлы регистрации измерений.</w:t>
      </w:r>
    </w:p>
    <w:p>
      <w:pPr>
        <w:pStyle w:val="EskdText"/>
      </w:pPr>
      <w:r>
        <w:t xml:space="preserve">8.2 По протоколу составляется акт предварительных испытаний с заключением о соответствии образца ТЗ и о необходимости корректировки КД.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850" w:right="567" w:bottom="1417" w:left="1417" w:header="0" w:footer="8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osifont">
    <w:charset w:val="00"/>
    <w:family w:val="swiss"/>
    <w:pitch w:val="variable"/>
    <w:embedRegular r:id="rId1" w:fontKey="{9ED5E3DE-E9B3-58E4-9C2E-54D84BA7694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83" w:lineRule="exact"/>
      <w:ind w:left="0" w:right="0" w:firstLine="0"/>
      <w:rPr>
        <w:sz w:val="2"/>
        <w:szCs w:val="2"/>
      </w:rPr>
    </w:pPr>
  </w:p>
  <w:tbl>
    <w:tblPr>
      <w:tblW w:w="10488" w:type="dxa"/>
      <w:tblInd w:w="-283" w:type="dxa"/>
      <w:tblLayout w:type="fixed"/>
      <w:tblCellMar>
        <w:top w:w="0" w:type="dxa"/>
        <w:left w:w="28" w:type="dxa"/>
        <w:bottom w:w="0" w:type="dxa"/>
        <w:right w:w="28" w:type="dxa"/>
      </w:tblCellMar>
      <w:tblLook w:val="0000" w:firstRow="0" w:lastRow="0" w:firstColumn="0" w:lastColumn="0" w:noHBand="1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1134"/>
    </w:tblGrid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803" w:type="dxa"/>
          <w:gridSpan w:val="6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28"/>
              <w:szCs w:val="28"/>
            </w:rPr>
          </w:pPr>
          <w:r>
            <w:rPr>
              <w:rFonts w:ascii="osifont" w:hAnsi="osifont" w:cs="osifont" w:eastAsia="osifont"/>
              <w:sz w:val="28"/>
              <w:szCs w:val="28"/>
            </w:rPr>
            <w:t xml:space="preserve">ШИВА.468157.001 ПМ</w:t>
          </w: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803" w:type="dxa"/>
          <w:gridSpan w:val="6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Изм.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№ докум.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Подп.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6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Разраб.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Разработчик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10.2026</w:t>
          </w:r>
        </w:p>
      </w:tc>
      <w:tc>
        <w:tcPr>
          <w:tcW w:w="3969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17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Модуль приемника ГНСС МГП-8</w:t>
          </w:r>
        </w:p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Программа и методика испытаний</w:t>
          </w:r>
        </w:p>
      </w:tc>
      <w:tc>
        <w:tcPr>
          <w:tcW w:w="850" w:type="dxa"/>
          <w:gridSpan w:val="3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Лит.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13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Листов</w:t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Пров.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6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t xml:space="preserve">Э</w:t>
          </w:r>
        </w:p>
      </w:tc>
      <w:tc>
        <w:tcPr>
          <w:tcW w:w="283" w:type="dxa"/>
          <w:tcBorders>
            <w:top w:val="single" w:sz="12" w:space="0" w:color="000000"/>
            <w:left w:val="single" w:sz="6" w:space="0" w:color="000000"/>
            <w:bottom w:val="single" w:sz="12" w:space="0" w:color="000000"/>
            <w:right w:val="single" w:sz="6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4" w:type="dxa"/>
          <w:tcBorders>
            <w:top w:val="single" w:sz="12" w:space="0" w:color="000000"/>
            <w:left w:val="single" w:sz="6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fldChar w:fldCharType="begin"/>
          </w:r>
          <w:r>
            <w:rPr>
              <w:rFonts w:ascii="osifont" w:hAnsi="osifont" w:cs="osifont" w:eastAsia="osifont"/>
              <w:sz w:val="16"/>
              <w:szCs w:val="16"/>
            </w:rPr>
            <w:instrText xml:space="preserve"> PAGE </w:instrTex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separate"/>
          </w:r>
          <w:r>
            <w:rPr>
              <w:rFonts w:ascii="osifont" w:hAnsi="osifont" w:cs="osifont" w:eastAsia="osifont"/>
              <w:sz w:val="16"/>
              <w:szCs w:val="16"/>
            </w:rPr>
            <w:t xml:space="preserve">1</w: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end"/>
          </w:r>
        </w:p>
      </w:tc>
      <w:tc>
        <w:tcPr>
          <w:tcW w:w="113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fldChar w:fldCharType="begin"/>
          </w:r>
          <w:r>
            <w:rPr>
              <w:rFonts w:ascii="osifont" w:hAnsi="osifont" w:cs="osifont" w:eastAsia="osifont"/>
              <w:sz w:val="16"/>
              <w:szCs w:val="16"/>
            </w:rPr>
            <w:instrText xml:space="preserve"> NUMPAGES </w:instrTex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separate"/>
          </w:r>
          <w:r>
            <w:rPr>
              <w:rFonts w:ascii="osifont" w:hAnsi="osifont" w:cs="osifont" w:eastAsia="osifont"/>
              <w:sz w:val="16"/>
              <w:szCs w:val="16"/>
            </w:rPr>
            <w:t xml:space="preserve">1</w: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end"/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ООО ШИВА НЕТВОРК</w:t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Н.контр.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Утв.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</w:tbl>
  <w:p>
    <w:pPr>
      <w:tabs>
        <w:tab w:val="left" w:pos="3969"/>
        <w:tab w:val="left" w:pos="7937"/>
      </w:tabs>
      <w:spacing w:before="0" w:after="0" w:line="198" w:lineRule="exact"/>
      <w:ind w:left="0" w:right="0" w:firstLine="0"/>
      <w:rPr>
        <w:rFonts w:ascii="osifont" w:hAnsi="osifont" w:cs="osifont" w:eastAsia="osifont"/>
        <w:sz w:val="14"/>
        <w:szCs w:val="14"/>
      </w:rPr>
    </w:pPr>
    <w:r>
      <w:rPr>
        <w:rFonts w:ascii="osifont" w:hAnsi="osifont" w:cs="osifont" w:eastAsia="osifont"/>
        <w:sz w:val="14"/>
        <w:szCs w:val="14"/>
      </w:rPr>
      <w:tab/>
      <w:t xml:space="preserve">Копировал</w:t>
      <w:tab/>
      <w:t xml:space="preserve">Формат A4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83" w:lineRule="exact"/>
      <w:ind w:left="0" w:right="0" w:firstLine="0"/>
      <w:rPr>
        <w:sz w:val="2"/>
        <w:szCs w:val="2"/>
      </w:rPr>
    </w:pPr>
  </w:p>
  <w:tbl>
    <w:tblPr>
      <w:tblW w:w="10488" w:type="dxa"/>
      <w:tblInd w:w="-283" w:type="dxa"/>
      <w:tblLayout w:type="fixed"/>
      <w:tblCellMar>
        <w:top w:w="0" w:type="dxa"/>
        <w:left w:w="28" w:type="dxa"/>
        <w:bottom w:w="0" w:type="dxa"/>
        <w:right w:w="28" w:type="dxa"/>
      </w:tblCellMar>
      <w:tblLook w:val="0000" w:firstRow="0" w:lastRow="0" w:firstColumn="0" w:lastColumn="0" w:noHBand="1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28"/>
              <w:szCs w:val="28"/>
            </w:rPr>
          </w:pPr>
          <w:r>
            <w:rPr>
              <w:rFonts w:ascii="osifont" w:hAnsi="osifont" w:cs="osifont" w:eastAsia="osifont"/>
              <w:sz w:val="28"/>
              <w:szCs w:val="28"/>
            </w:rPr>
            <w:t xml:space="preserve">ШИВА.468157.001 ПМ</w:t>
          </w: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</w:tr>
    <w:tr>
      <w:trPr>
        <w:cantSplit/>
        <w:trHeight w:val="113" w:hRule="exact"/>
      </w:trPr>
      <w:tc>
        <w:tcPr>
          <w:tcW w:w="39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170" w:hRule="exact"/>
      </w:trPr>
      <w:tc>
        <w:tcPr>
          <w:tcW w:w="39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fldChar w:fldCharType="begin"/>
          </w:r>
          <w:r>
            <w:rPr>
              <w:rFonts w:ascii="osifont" w:hAnsi="osifont" w:cs="osifont" w:eastAsia="osifont"/>
              <w:sz w:val="19"/>
              <w:szCs w:val="19"/>
            </w:rPr>
            <w:instrText xml:space="preserve"> PAGE </w:instrText>
          </w:r>
          <w:r>
            <w:rPr>
              <w:rFonts w:ascii="osifont" w:hAnsi="osifont" w:cs="osifont" w:eastAsia="osifont"/>
              <w:sz w:val="19"/>
              <w:szCs w:val="19"/>
            </w:rPr>
            <w:fldChar w:fldCharType="separate"/>
          </w:r>
          <w:r>
            <w:rPr>
              <w:rFonts w:ascii="osifont" w:hAnsi="osifont" w:cs="osifont" w:eastAsia="osifont"/>
              <w:sz w:val="19"/>
              <w:szCs w:val="19"/>
            </w:rPr>
            <w:t xml:space="preserve">1</w:t>
          </w:r>
          <w:r>
            <w:rPr>
              <w:rFonts w:ascii="osifont" w:hAnsi="osifont" w:cs="osifont" w:eastAsia="osifont"/>
              <w:sz w:val="19"/>
              <w:szCs w:val="19"/>
            </w:rPr>
            <w:fldChar w:fldCharType="end"/>
          </w: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Изм.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№ докум.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Подп.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</w:tbl>
  <w:p>
    <w:pPr>
      <w:tabs>
        <w:tab w:val="left" w:pos="3969"/>
        <w:tab w:val="left" w:pos="7937"/>
      </w:tabs>
      <w:spacing w:before="0" w:after="0" w:line="198" w:lineRule="exact"/>
      <w:ind w:left="0" w:right="0" w:firstLine="0"/>
      <w:rPr>
        <w:rFonts w:ascii="osifont" w:hAnsi="osifont" w:cs="osifont" w:eastAsia="osifont"/>
        <w:sz w:val="14"/>
        <w:szCs w:val="14"/>
      </w:rPr>
    </w:pPr>
    <w:r>
      <w:rPr>
        <w:rFonts w:ascii="osifont" w:hAnsi="osifont" w:cs="osifont" w:eastAsia="osifont"/>
        <w:sz w:val="14"/>
        <w:szCs w:val="14"/>
      </w:rPr>
      <w:tab/>
      <w:t xml:space="preserve">Копировал</w:t>
      <w:tab/>
      <w:t xml:space="preserve">Формат A4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0" w:lineRule="exact"/>
      <w:ind w:left="0" w:right="0" w:firstLine="0"/>
      <w:rPr>
        <w:sz w:val="2"/>
        <w:szCs w:val="2"/>
      </w:rPr>
    </w:pPr>
    <w:r>
      <w:pict>
        <v:rect id="eskd_frame1025" o:spid="_x0000_s1025" o:allowincell="f" filled="f" strokeweight="1.5pt" style="position:absolute;margin-left:56.69pt;margin-top:14.17pt;width:524.41pt;height:813.54pt;z-index:-251659264;mso-position-horizontal:absolute;mso-position-horizontal-relative:page;mso-position-vertical:absolute;mso-position-vertical-relative:page">
          <w10:wrap anchorx="page" anchory="page"/>
        </v:rect>
      </w:pict>
    </w:r>
    <w:r>
      <w:pict>
        <v:rect id="eskd_side1026" o:spid="_x0000_s1026" o:allowincell="f" filled="f" stroked="f" style="position:absolute;margin-left:21.26pt;margin-top:415.28pt;width:36.85pt;height:415.28pt;z-index:-251657214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дубл.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Взам. инв.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  <w:r>
      <w:pict>
        <v:rect id="eskd_side1027" o:spid="_x0000_s1027" o:allowincell="f" filled="f" stroked="f" style="position:absolute;margin-left:21.26pt;margin-top:12.76pt;width:36.85pt;height:344.41pt;z-index:-251657213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3402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Перв. примен.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3402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Справ.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0" w:lineRule="exact"/>
      <w:ind w:left="0" w:right="0" w:firstLine="0"/>
      <w:rPr>
        <w:sz w:val="2"/>
        <w:szCs w:val="2"/>
      </w:rPr>
    </w:pPr>
    <w:r>
      <w:pict>
        <v:rect id="eskd_frame1029" o:spid="_x0000_s1029" o:allowincell="f" filled="f" strokeweight="1.5pt" style="position:absolute;margin-left:56.69pt;margin-top:14.17pt;width:524.41pt;height:813.54pt;z-index:-251659264;mso-position-horizontal:absolute;mso-position-horizontal-relative:page;mso-position-vertical:absolute;mso-position-vertical-relative:page">
          <w10:wrap anchorx="page" anchory="page"/>
        </v:rect>
      </w:pict>
    </w:r>
    <w:r>
      <w:pict>
        <v:rect id="eskd_side1030" o:spid="_x0000_s1030" o:allowincell="f" filled="f" stroked="f" style="position:absolute;margin-left:21.26pt;margin-top:415.28pt;width:36.85pt;height:415.28pt;z-index:-251657210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дубл.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Взам. инв.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xmlns:v="urn:schemas-microsoft-com:vml" xmlns:o="urn:schemas-microsoft-com:office:office" xmlns:w10="urn:schemas-microsoft-com:office:word" w:ascii="Times New Roman" w:hAnsi="Times New Roman" w:cs="Times New Roman" w:eastAsia="Times New Roman"/>
        <w:sz w:val="22"/>
        <w:szCs w:val="22"/>
        <w:lang xmlns:v="urn:schemas-microsoft-com:vml" xmlns:o="urn:schemas-microsoft-com:office:office" xmlns:w10="urn:schemas-microsoft-com:office:word" w:val="ru-RU" w:eastAsia="ru-RU" w:bidi="ar-SA"/>
      </w:rPr>
    </w:rPrDefault>
    <w:pPrDefault>
      <w:pPr>
        <w:spacing xmlns:v="urn:schemas-microsoft-com:vml" xmlns:o="urn:schemas-microsoft-com:office:office" xmlns:w10="urn:schemas-microsoft-com:office:word"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xmlns:v="urn:schemas-microsoft-com:vml" xmlns:o="urn:schemas-microsoft-com:office:office" xmlns:w10="urn:schemas-microsoft-com:office:word" w:before="160" w:after="120" w:line="271" w:lineRule="auto"/>
      <w:ind xmlns:v="urn:schemas-microsoft-com:vml" xmlns:o="urn:schemas-microsoft-com:office:office" xmlns:w10="urn:schemas-microsoft-com:office:word" w:firstLine="709"/>
      <w:outlineLvl w:val="0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8"/>
      <w:szCs xmlns:v="urn:schemas-microsoft-com:vml" xmlns:o="urn:schemas-microsoft-com:office:office" xmlns:w10="urn:schemas-microsoft-com:office:word"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xmlns:v="urn:schemas-microsoft-com:vml" xmlns:o="urn:schemas-microsoft-com:office:office" xmlns:w10="urn:schemas-microsoft-com:office:word" w:before="120" w:after="80" w:line="271" w:lineRule="auto"/>
      <w:ind xmlns:v="urn:schemas-microsoft-com:vml" xmlns:o="urn:schemas-microsoft-com:office:office" xmlns:w10="urn:schemas-microsoft-com:office:word" w:firstLine="709"/>
      <w:outlineLvl w:val="1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4"/>
      <w:szCs xmlns:v="urn:schemas-microsoft-com:vml" xmlns:o="urn:schemas-microsoft-com:office:office" xmlns:w10="urn:schemas-microsoft-com:office:word"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xmlns:v="urn:schemas-microsoft-com:vml" xmlns:o="urn:schemas-microsoft-com:office:office" xmlns:w10="urn:schemas-microsoft-com:office:word" w:before="80" w:after="60" w:line="271" w:lineRule="auto"/>
      <w:ind xmlns:v="urn:schemas-microsoft-com:vml" xmlns:o="urn:schemas-microsoft-com:office:office" xmlns:w10="urn:schemas-microsoft-com:office:word" w:firstLine="709"/>
      <w:outlineLvl w:val="2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2"/>
      <w:szCs xmlns:v="urn:schemas-microsoft-com:vml" xmlns:o="urn:schemas-microsoft-com:office:office" xmlns:w10="urn:schemas-microsoft-com:office:word"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ext">
    <w:name w:val="Текст ЕСКД"/>
    <w:basedOn w:val="Normal"/>
    <w:qFormat/>
    <w:pPr xmlns:v="urn:schemas-microsoft-com:vml" xmlns:o="urn:schemas-microsoft-com:office:office" xmlns:w10="urn:schemas-microsoft-com:office:word">
      <w:spacing w:after="40" w:line="282" w:lineRule="auto"/>
      <w:ind w:firstLine="709"/>
      <w:jc w:val="both"/>
    </w:pPr>
    <w:rPr xmlns:v="urn:schemas-microsoft-com:vml" xmlns:o="urn:schemas-microsoft-com:office:office" xmlns:w10="urn:schemas-microsoft-com:office:word"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и методика испытаний</dc:title>
  <dc:subject>ШИВА.468157.001 ПМ</dc:subject>
  <dc:creator>ООО ШИВА НЕТВОРК</dc:creator>
  <cp:keywords/>
  <dc:description/>
  <cp:lastModifiedBy>ООО ШИВА НЕТВОРК</cp:lastModifiedBy>
  <cp:revision>1</cp:revision>
  <dcterms:created xsi:type="dcterms:W3CDTF">2026-10-01T00:00:00Z</dcterms:created>
  <dcterms:modified xsi:type="dcterms:W3CDTF">2026-10-01T00:00:00Z</dcterms:modified>
  <cp:category/>
</cp:coreProperties>
</file>