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1 Наименование и область применения</w:t>
      </w:r>
    </w:p>
    <w:p>
      <w:pPr>
        <w:pStyle w:val="EskdText"/>
      </w:pPr>
      <w:r>
        <w:t xml:space="preserve">1.1 Наименование изделия: «Модуль приёмника глобальных навигационных спутниковых систем многосистемного многочастотного МГП-8» (далее — МГП-8, изделие).</w:t>
      </w:r>
    </w:p>
    <w:p>
      <w:pPr>
        <w:pStyle w:val="EskdText"/>
      </w:pPr>
      <w:r>
        <w:t xml:space="preserve">1.2 Условное обозначение: ШИВА.468157.001.</w:t>
      </w:r>
    </w:p>
    <w:p>
      <w:pPr>
        <w:pStyle w:val="EskdText"/>
      </w:pPr>
      <w:r>
        <w:t xml:space="preserve">1.3 Область применения: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бортовая навигационно-временная аппаратура беспилотных авиационных систем (БАС), в том числе роевых, с синхронизацией по шкале времени ГНСС (выход 1PPS);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аппаратура частотно-временного обеспечения: опорный пункт, мастер-узел сети синхронизации;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исследовательский комплекс для записи сигналов ГНСС («сырые» отсчёты ПЧ), отработки алгоритмов, обнаружения помех и подмены (спуфинга).</w:t>
      </w:r>
    </w:p>
    <w:p>
      <w:pPr>
        <w:pStyle w:val="Heading1"/>
      </w:pPr>
      <w:r>
        <w:t xml:space="preserve">2 Основание для разработки</w:t>
      </w:r>
    </w:p>
    <w:p>
      <w:pPr>
        <w:pStyle w:val="EskdText"/>
      </w:pPr>
      <w:r>
        <w:t xml:space="preserve">2.1 Инициативная разработка. Основание уточняется Заказчиком.</w:t>
      </w:r>
    </w:p>
    <w:p>
      <w:pPr>
        <w:pStyle w:val="Heading1"/>
      </w:pPr>
      <w:r>
        <w:t xml:space="preserve">3 Цель и назначение разработки</w:t>
      </w:r>
    </w:p>
    <w:p>
      <w:pPr>
        <w:pStyle w:val="EskdText"/>
      </w:pPr>
      <w:r>
        <w:t xml:space="preserve">3.1 Цель — создать собственный (без закрытых зарубежных навигационных модулей) многосистемный многочастотный приёмник ГНСС. Все уровни должны быть открыты для доработки: схемотехника, конфигурация ПЛИС, программное обеспечение.</w:t>
      </w:r>
    </w:p>
    <w:p>
      <w:pPr>
        <w:pStyle w:val="EskdText"/>
      </w:pPr>
      <w:r>
        <w:t xml:space="preserve">3.2 Назначение — приём и обработка навигационных радиосигналов систем ГЛОНАСС, GPS, Galileo, BeiDou, QZSS, NavIC и SBAS в диапазонах L1, L2, L3/L5, E6/B3/L6. Результат обработки: координаты, скорость, время, сырые измерения, метка времени 1PPS.</w:t>
      </w:r>
    </w:p>
    <w:p>
      <w:pPr>
        <w:pStyle w:val="Heading1"/>
      </w:pPr>
      <w:r>
        <w:t xml:space="preserve">4 Источники разработки</w:t>
      </w:r>
    </w:p>
    <w:p>
      <w:pPr>
        <w:pStyle w:val="EskdText"/>
      </w:pPr>
      <w:r>
        <w:t xml:space="preserve">4.1 Открытые разработки, перечисленные в документе «Обзор открытых разработок» (</w:t>
      </w:r>
      <w:r>
        <w:rPr>
          <w:rFonts w:ascii="Courier New" w:hAnsi="Courier New" w:cs="Courier New" w:eastAsia="Courier New"/>
        </w:rPr>
        <w:t xml:space="preserve">docs/01_Обзор_открытых_разработок.md</w:t>
      </w:r>
      <w:r>
        <w:t xml:space="preserve">). Прежде всего это Pocket SDR (BSD-2) и RTKLIB (BSD-2).</w:t>
      </w:r>
    </w:p>
    <w:p>
      <w:pPr>
        <w:pStyle w:val="EskdText"/>
      </w:pPr>
      <w:r>
        <w:t xml:space="preserve">4.2 Интерфейсные контрольные документы систем: ИКД ГЛОНАСС ред. 5.1; ИКД ГЛОНАСС сигналов с кодовым разделением L1, L2, L3 ред. 1.0; IS-GPS-200, IS-GPS-705, IS-GPS-800; Galileo OS SIS ICD; BDS-SIS-ICD (B1I, B3I, B1C, B2a, B2b); IS-QZSS-PNT; NavIC SPS ICD; RTCA DO-229.</w:t>
      </w:r>
    </w:p>
    <w:p>
      <w:pPr>
        <w:pStyle w:val="EskdText"/>
      </w:pPr>
      <w:r>
        <w:t xml:space="preserve">4.3 Документация на модуль синхронизации времени ZED-F9T (u-blox) — для сравнения показателей (п. 5.2.16): ZED-F9T-00B Data sheet UBX-18053713, ZED-F9T-10B Data sheet UBX-20033635, ZED-F9T Product summary UBX-18011626.</w:t>
      </w:r>
    </w:p>
    <w:p>
      <w:pPr>
        <w:pStyle w:val="Heading1"/>
      </w:pPr>
      <w:r>
        <w:t xml:space="preserve">5 Технические требования</w:t>
      </w:r>
    </w:p>
    <w:p>
      <w:pPr>
        <w:pStyle w:val="Heading2"/>
      </w:pPr>
      <w:r>
        <w:t xml:space="preserve">5.1 Состав изделия и требования к конструктивному устройству</w:t>
      </w:r>
    </w:p>
    <w:p>
      <w:pPr>
        <w:pStyle w:val="EskdText"/>
      </w:pPr>
      <w:r>
        <w:t xml:space="preserve">5.1.1 МГП-8 выполняется в виде модуля на одной многослойной печатной плате. Плата устанавливается в корпус носителя или в технологический корпус.</w:t>
      </w:r>
    </w:p>
    <w:p>
      <w:pPr>
        <w:pStyle w:val="EskdText"/>
      </w:pPr>
      <w:r>
        <w:t xml:space="preserve">5.1.2 Состав МГП-8: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антенный вход с питанием активной антенны, защитой от короткого замыкания и контролем тока потребления;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ВЧ-распределитель 1:8;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восемь независимых приёмных ВЧ-каналов (преобразование частоты, фильтрация ПЧ, АРУ, АЦП);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узел опорной частоты (ТКГ 24 МГц) с распределением на ВЧ-каналы и вход внешней опорной частоты 10 МГц или 1PPS;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узел цифровой обработки на ПЛИС: корреляторы, захват, шкала времени, формирование 1PPS;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управляющий микроконтроллер: петли слежения, декодирование навигационных сообщений, решение навигационной задачи, протоколы обмена;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контроллер USB 3.0 для выдачи «сырых» отсчётов ПЧ;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вторичные источники питания;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внешние интерфейсы.</w:t>
      </w:r>
    </w:p>
    <w:p>
      <w:pPr>
        <w:pStyle w:val="EskdText"/>
      </w:pPr>
      <w:r>
        <w:t xml:space="preserve">5.1.3 Габаритные размеры платы: не более 100 × 75 мм, высота с экранами — не более 12 мм.</w:t>
      </w:r>
    </w:p>
    <w:p>
      <w:pPr>
        <w:pStyle w:val="EskdText"/>
      </w:pPr>
      <w:r>
        <w:t xml:space="preserve">5.1.4 Масса без корпуса: не более 80 г.</w:t>
      </w:r>
    </w:p>
    <w:p>
      <w:pPr>
        <w:pStyle w:val="EskdText"/>
      </w:pPr>
      <w:r>
        <w:t xml:space="preserve">5.1.5 Чувствительные ВЧ-цепи должны быть закрыты экранирующими крышками со съёмными рамками.</w:t>
      </w:r>
    </w:p>
    <w:p>
      <w:pPr>
        <w:pStyle w:val="Heading2"/>
      </w:pPr>
      <w:r>
        <w:t xml:space="preserve">5.2 Показатели назначения</w:t>
      </w:r>
    </w:p>
    <w:p>
      <w:pPr>
        <w:pStyle w:val="EskdText"/>
      </w:pPr>
      <w:r>
        <w:t xml:space="preserve">5.2.1 Принимаемые сигналы. Таблица 1 — полный перечень при полной конфигурации ВЧ-каналов. Конфигурация каналов задаётся программно.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1 — Принимаемые сигналы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788"/>
        <w:gridCol w:w="1774"/>
        <w:gridCol w:w="1183"/>
        <w:gridCol w:w="6176"/>
      </w:tblGrid>
      <w:tr>
        <w:trPr>
          <w:cantSplit/>
          <w:tblHeader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ВЧ-канал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Частота гетеродина, МГц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Полоса ПЧ, МГц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Сигналы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1568,000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23,4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 L1 C/A, L1C; Galileo E1 B/C; BeiDou B1C, B1I; QZSS L1 C/A, L1C, L1S; SBAS L1; NavIC L1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1602,000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8,7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ГЛОНАСС L1OF (литеры −7…+6), L1OC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1227,600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4,2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 L2C; QZSS L2C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1246,000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8,7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ГЛОНАСС L2OF (литеры −7…+6), L2OC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1176,450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16,4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 L5; Galileo E5a; BeiDou B2a; QZSS L5; NavIC L5; SBAS L5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1207,140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16,4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E5b; BeiDou B2I, B2b; ГЛОНАСС L3OC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1268,520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16,4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BeiDou B3I</w:t>
            </w:r>
          </w:p>
        </w:tc>
      </w:tr>
      <w:tr>
        <w:trPr>
          <w:cantSplit/>
        </w:trPr>
        <w:tc>
          <w:tcPr>
            <w:tcW w:w="7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77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1278,750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8,7</w:t>
            </w:r>
          </w:p>
        </w:tc>
        <w:tc>
          <w:tcPr>
            <w:tcW w:w="617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E6 B/C; QZSS L6 D/E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5.2.2 Число каналов аппаратного коррелятора (одновременно отслеживаемых сигналов): не менее 64. Целевое значение — 96.</w:t>
      </w:r>
    </w:p>
    <w:p>
      <w:pPr>
        <w:pStyle w:val="EskdText"/>
      </w:pPr>
      <w:r>
        <w:t xml:space="preserve">5.2.3 Чувствительность. Задаётся мощностью сигнала на входе антенного соединителя при коэффициенте шума активной антенны не более 2 дБ и потерях в кабеле не более 3 дБ. Обоснование и пересчёт в C/N0 — ПЗ, раздел 3: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(холодный старт): не хуже минус 142 дБм (C/N0 ≈ 29 дБГц);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повторный захват: не хуже минус 147 дБм (C/N0 ≈ 24 дБГц);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слежение (по пилотным компонентам): не хуже минус 150 дБм (C/N0 ≈ 21 дБГц).</w:t>
      </w:r>
    </w:p>
    <w:p>
      <w:pPr>
        <w:pStyle w:val="EskdText"/>
      </w:pPr>
      <w:r>
        <w:t xml:space="preserve">Захват на пороговом уровне холодного старта выполняется в режиме длительного накопления (256 периодов кода). Время полного поиска по всем КА одной системы в этом режиме — не более 10 мин; при открытом небе (C/N0 ≥ 40 дБГц) действует п. 5.2.4.</w:t>
      </w:r>
    </w:p>
    <w:p>
      <w:pPr>
        <w:pStyle w:val="EskdText"/>
      </w:pPr>
      <w:r>
        <w:t xml:space="preserve">5.2.4 Время до первого определения (ВПО) при открытом небе, многосистемный режим: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холодный старт: не более 45 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тёплый старт: не более 30 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горячий старт: не более 5 с.</w:t>
      </w:r>
    </w:p>
    <w:p>
      <w:pPr>
        <w:pStyle w:val="EskdText"/>
      </w:pPr>
      <w:r>
        <w:t xml:space="preserve">5.2.5 Погрешность определения координат в автономном режиме при открытом небе (PDOP ≤ 2, двухчастотный режим, вероятность 0,95):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 плане: не более 2,5 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 высоте: не более 4 м.</w:t>
      </w:r>
    </w:p>
    <w:p>
      <w:pPr>
        <w:pStyle w:val="EskdText"/>
      </w:pPr>
      <w:r>
        <w:t xml:space="preserve">5.2.6 Погрешность определения координат в режиме RTK с поправками RTCM 3.x (после разрешения неоднозначности, вероятность 0,95): не более 2 см + 1 мм/км в плане. Режим реализуется на втором этапе ОКР.</w:t>
      </w:r>
    </w:p>
    <w:p>
      <w:pPr>
        <w:pStyle w:val="EskdText"/>
      </w:pPr>
      <w:r>
        <w:t xml:space="preserve">5.2.7 Погрешность определения скорости (СКО): не более 0,05 м/с.</w:t>
      </w:r>
    </w:p>
    <w:p>
      <w:pPr>
        <w:pStyle w:val="EskdText"/>
      </w:pPr>
      <w:r>
        <w:t xml:space="preserve">5.2.8 Погрешность привязки фронта 1PPS к шкале времени ГНСС (UTC(SU) или GPST, выбирается программно), СКО. Условия: открытое небо, режим синхронизации времени (п. 5.2.13), задержки откалиброваны (п. 5.2.14):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без коррекции дискретности: не более 5 нс;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 коррекцией дискретности (выдача поправки qErr): не более 4 нс;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 навигационном режиме, в том числе на подвижном объекте, с коррекцией дискретности: не более 10 нс.</w:t>
      </w:r>
    </w:p>
    <w:p>
      <w:pPr>
        <w:pStyle w:val="EskdText"/>
      </w:pPr>
      <w:r>
        <w:t xml:space="preserve">Взаимная погрешность 1PPS двух изделий на расстоянии до 20 км в дифференциальном режиме (обмен поправками по каналу передачи данных) — не более 2,5 нс (СКО). Режим реализуется на втором этапе ОКР.</w:t>
      </w:r>
    </w:p>
    <w:p>
      <w:pPr>
        <w:pStyle w:val="EskdText"/>
      </w:pPr>
      <w:r>
        <w:t xml:space="preserve">5.2.9 Темп выдачи решения: 1, 2, 5, 10 и 20 Гц.</w:t>
      </w:r>
    </w:p>
    <w:p>
      <w:pPr>
        <w:pStyle w:val="EskdText"/>
      </w:pPr>
      <w:r>
        <w:t xml:space="preserve">5.2.10 Допустимая динамика объекта: скорость до 500 м/с, ускорение до 4g, рывок до 2g/с.</w:t>
      </w:r>
    </w:p>
    <w:p>
      <w:pPr>
        <w:pStyle w:val="EskdText"/>
      </w:pPr>
      <w:r>
        <w:t xml:space="preserve">5.2.11 Помехоустойчивость: обнаружение узкополосных помех в полосе каждого ВЧ-канала. Цифровое режекторное подавление гармонических помех — не менее 25 дБ отношения помеха/сигнал без потери слежения. На втором этапе ОКР вводится проверка подлинности навигационных сообщений Galileo (OSNMA).</w:t>
      </w:r>
    </w:p>
    <w:p>
      <w:pPr>
        <w:pStyle w:val="EskdText"/>
      </w:pPr>
      <w:r>
        <w:t xml:space="preserve">5.2.12 Выходная информация: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протокол NMEA-0183 версии 4.11 (сообщения GGA, RMC, GSA, GSV, GST, ZDA);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поток сырых измерений RTCM 3.3 MSM7;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собственный двоичный протокол: измерения, эфемериды, состояние каналов, ИТМ;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поток «сырых» отсчётов ПЧ по USB 3.0. Формат совместим с Pocket SDR FE 8CH: 8 каналов, I/Q по 2 бита, частота дискретизации 24 МГц.</w:t>
      </w:r>
    </w:p>
    <w:p>
      <w:pPr>
        <w:pStyle w:val="EskdText"/>
      </w:pPr>
      <w:r>
        <w:t xml:space="preserve">5.2.13 Режим синхронизации времени (неподвижная антенна):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определение координат антенны усреднением (survey-in). Задаются минимальное время и предельная погрешность, по окончании изделие переходит к работе по фиксированным координатам;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работа по фиксированным координатам, заданным пользователем вместе с их погрешностью;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решение задачи времени по фиксированным координатам при одном КА и более;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контроль целостности шкалы времени (T-RAIM) при двух КА и более: исключение аномальных измерений, оценка погрешности времени и её выдача в протоколе;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выдача поправки qErr очередного импульса 1PPS до его формирования;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при потере решения — продолжение выдачи 1PPS по прогнозу шкалы (по ТКГ или по внешней опоре 10 МГц) с признаком «удержание» и оценкой ухода. По выбору пользователя выдача 1PPS прекращается сразу при потере решения или по истечении заданного времени удержания;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признаки состояния в протоколе: режим, ход survey-in, число используемых КА, оценка погрешности времени, состояние удержания.</w:t>
      </w:r>
    </w:p>
    <w:p>
      <w:pPr>
        <w:pStyle w:val="EskdText"/>
      </w:pPr>
      <w:r>
        <w:t xml:space="preserve">5.2.14 Калибровка и компенсация задержек: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задержка антенны и антенного кабеля и смещение выхода 1PPS задаются пользователем в пределах ±50 мкс с дискретностью 0,1 нс и хранятся в энергонезависимой памяти;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групповые задержки при изготовлении измеряются для каждого ВЧ-канала (от антенного входа до отсчётов в ПЛИС) и для выхода 1PPS (от ПЛИС до соединителя). Результаты хранятся в энергонезависимой памяти изделия и учитываются ПО;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температурная зависимость групповых задержек компенсируется по встроенному датчику температуры. Модель зависимости определяется при испытаниях опытных образцов;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остаточная погрешность компенсации задержки тракта во всём диапазоне рабочих температур — не более 2 нс (СКО);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межчастотные задержки и задержки по литерам ГЛОНАСС учитываются по калибровке, смещения шкал систем оцениваются в навигационном решении.</w:t>
      </w:r>
    </w:p>
    <w:p>
      <w:pPr>
        <w:pStyle w:val="EskdText"/>
      </w:pPr>
      <w:r>
        <w:t xml:space="preserve">5.2.15 Расширение на низкоорбитальные навигационные системы. Изделие должно допускать приём сигналов низкоорбитальных (НОО) навигационных систем, в том числе навигационных сигналов низкоорбитальных группировок связи, в диапазоне L. Схема при этом не меняется: заменяются ПО МК и, при необходимости, конфигурация ПЛИС. Требования: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антенный вход и ВЧ-распределитель — широкополосные, без полосовых фильтров отдельных систем; полоса приёма ограничивается антенной;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один из ВЧ-каналов (по умолчанию — канал 8) перестраивается программно в пределах диапазонов ВЧ-микросхемы: нижний — не уже 1160…1290 МГц, верхний — не уже 1525…1610 МГц. Полоса ПЧ задаётся программно, до 23,4 МГц;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дальномерные коды загружаются МК в память кода ПЛИС: длина до 16 376 элементов, частота следования до 10,23 Мчип/с;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диапазон поиска и слежения по доплеровскому сдвигу — не менее ±50 кГц, скорость его изменения — до 1 кГц/с (орбиты высотой от 300 км). При наличии орбитальных данных захват выполняется по прогнозу доплеровского сдвига;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навигационные сообщения и модели орбит НОО (кеплеровы элементы, векторы состояния) обрабатываются подключаемыми программными модулями ПО МК. Порядок подключения нового сигнала (параметры сигнала, код, декодер сообщения, модель орбиты) приводится в программной документации;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измерения по КА НОО используются в решении совместно с ГНСС, с отдельной шкалой времени системы;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сигналы диапазонов C, Ku и выше принимаются через внешний преобразователь частоты на антенный вход; разработка преобразователя в объём ОКР не входит.</w:t>
      </w:r>
    </w:p>
    <w:p>
      <w:pPr>
        <w:pStyle w:val="EskdText"/>
      </w:pPr>
      <w:r>
        <w:t xml:space="preserve">5.2.16 Целевые показатели в сравнении с модулем синхронизации времени ZED-F9T (u-blox) — таблица 2. Значения для ZED-F9T приняты по документации изготовителя (п. 4.3). Требования МГП-8 обязательны. Целевые значения — ориентиры второго этапа ОКР (ускорение захвата в ПЛИС, длительное накопление в режиме синхронизации времени). Целевые значения подтверждаются сравнительными испытаниями (п. 6.2).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2 — Целевые показатели в сравнении с ZED-F9T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694"/>
        <w:gridCol w:w="4312"/>
        <w:gridCol w:w="2618"/>
        <w:gridCol w:w="649"/>
        <w:gridCol w:w="648"/>
      </w:tblGrid>
      <w:tr>
        <w:trPr>
          <w:cantSplit/>
          <w:tblHeader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Показатель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ZED-F9T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МГП-8, требование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МГП-8, цель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Пункт ТЗ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Системы и полосы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GPS, ГЛОНАСС, Galileo, BeiDou, QZSS, SBAS (NavIC — исп. 10B); две полосы одновременно: L1 + L2/E5b (исп. 00B) или L1 + L5/E5a (исп. 10B)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 системы, восемь полос одновременно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Каналы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184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менее 64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5.2.2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Погрешность 1PPS, абсолютная (СКО)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&lt; 5 нс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≤ 5 нс; с поправкой qErr ≤ 4 нс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5.2.8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Погрешность 1PPS, взаимная (дифференциальный режим)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&lt; 2,5 нс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≤ 2,5 нс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5.2.8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Режим синхронизации времени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survey-in, фиксированные координаты, T-RAIM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survey-in, фиксированные координаты, решение по одному КА, T-RAIM, удержание 1PPS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5.2.13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Компенсация задержек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задержка кабеля и смещение импульса задаются пользователем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и заводская калибровка ВЧ-каналов с температурной моделью, остаток ≤ 2 нс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5.2.14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Выход импульсов времени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0,25 Гц…25 МГц, джиттер ±4 нс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Гц; дискретность ±5,2 нс с поправкой qErr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5.3.2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Метка времени события (EXTINT), дискретность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нс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≤ 8 нс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5.3.5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Чувствительность: слежение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−167 дБм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−150 дБм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−160 дБм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Чувствительность: повторный захват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−160 дБм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−147 дБм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−155 дБм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Чувствительность: холодный старт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−148 дБм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−142 дБм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−148 дБм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ВПО, холодный старт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с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 с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с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5.2.4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Проверка подлинности сообщений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OSNMA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OSNMA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5.2.11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«Сырые» отсчёты ПЧ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каналов, USB 3.0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5.2.12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Новые, в том числе низкоорбитальные, системы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перестраиваемый ВЧ-канал, загружаемые коды, доплер ±50 кГц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5.2.15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Открытость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закрытое встроенное ПО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схема, RTL ПЛИС, исходные тексты ПО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3.1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Потребляемая мощность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≈ 0,2 Вт (68 мА при 3,0 В)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≤ 3,5 Вт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5.4.2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Габаритные размеры</w:t>
            </w:r>
          </w:p>
        </w:tc>
        <w:tc>
          <w:tcPr>
            <w:tcW w:w="431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× 22 × 2,4 мм</w:t>
            </w:r>
          </w:p>
        </w:tc>
        <w:tc>
          <w:tcPr>
            <w:tcW w:w="26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× 75 × 12 мм</w:t>
            </w:r>
          </w:p>
        </w:tc>
        <w:tc>
          <w:tcPr>
            <w:tcW w:w="6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4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5.1.3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Примечания</w:t>
      </w:r>
    </w:p>
    <w:p>
      <w:pPr>
        <w:pStyle w:val="EskdText"/>
      </w:pPr>
      <w:r>
        <w:t xml:space="preserve">1 Чувствительность ZED-F9T нормирована изготовителем на входе модуля при уровне сигналов остальных КА минус 130 дБм. Условия для МГП-8 — п. 5.2.3. Поэтому значения сравниваются только на сравнительных испытаниях (п. 6.2).</w:t>
      </w:r>
    </w:p>
    <w:p>
      <w:pPr>
        <w:pStyle w:val="EskdText"/>
      </w:pPr>
      <w:r>
        <w:t xml:space="preserve">2 Мощность и габаритные размеры не сопоставимы. ZED-F9T — специализированная микросхема на две полосы. МГП-8 — восемь ВЧ-каналов и ПЛИС с открытой и расширяемой обработкой.</w:t>
      </w:r>
    </w:p>
    <w:p>
      <w:pPr>
        <w:pStyle w:val="Heading2"/>
      </w:pPr>
      <w:r>
        <w:t xml:space="preserve">5.3 Требования к интерфейсам</w:t>
      </w:r>
    </w:p>
    <w:p>
      <w:pPr>
        <w:pStyle w:val="EskdText"/>
      </w:pPr>
      <w:r>
        <w:t xml:space="preserve">5.3.1 Антенный вход: соединитель SMA (розетка), 50 Ом. Напряжение питания антенны 5 В (основное исполнение) или 3,3 В — задаётся при изготовлении установкой перемычки (резистор 0 Ом). Включение и отключение питания антенны — программное. Ток нагрузки — до 80 мА. Защита от перегрузки и короткого замыкания: программная — отключение питания антенны при токе более 100 мА ± 10 % за время не более 1 мс (контроль тока в каждом цикле АЦП с аппаратным компаратором окна МК), резервная — самовосстанавливающийся предохранитель 0,1 А. Контроль состояния «обрыв / норма / КЗ» по току потребления антенны.</w:t>
      </w:r>
    </w:p>
    <w:p>
      <w:pPr>
        <w:pStyle w:val="EskdText"/>
      </w:pPr>
      <w:r>
        <w:t xml:space="preserve">5.3.2 Выход 1PPS: соединитель SMA, уровень КМОП 3,3 В, выходное сопротивление 50 Ом. Длительность импульса задаётся программно от 1 мкс до 500 мс, полярность настраивается.</w:t>
      </w:r>
    </w:p>
    <w:p>
      <w:pPr>
        <w:pStyle w:val="EskdText"/>
      </w:pPr>
      <w:r>
        <w:t xml:space="preserve">5.3.3 Вход внешней опорной частоты 10 МГц (синус от 0 до +13 дБм) или 1PPS (КМОП 3,3 В): соединитель SMA.</w:t>
      </w:r>
    </w:p>
    <w:p>
      <w:pPr>
        <w:pStyle w:val="EskdText"/>
      </w:pPr>
      <w:r>
        <w:t xml:space="preserve">5.3.4 Порт навигационного приёмника: соединитель JST GH, 6 контактов. Разводка совместима с портом GPS полётных контроллеров Pixhawk (+5 В, TX, RX, SCL, SDA, общий).</w:t>
      </w:r>
    </w:p>
    <w:p>
      <w:pPr>
        <w:pStyle w:val="EskdText"/>
      </w:pPr>
      <w:r>
        <w:t xml:space="preserve">5.3.5 Порт времени: соединитель JST GH, 4 контакта (1PPS, EXTINT, общий, общий). Метка времени события по входу EXTINT фиксируется ПЛИС по шкале времени изделия с дискретностью не более 8 нс.</w:t>
      </w:r>
    </w:p>
    <w:p>
      <w:pPr>
        <w:pStyle w:val="EskdText"/>
      </w:pPr>
      <w:r>
        <w:t xml:space="preserve">5.3.6 Порт CAN FD (DroneCAN/UAVCAN): соединитель JST GH, 4 контакта (+5 В, CAN_H, CAN_L, общий).</w:t>
      </w:r>
    </w:p>
    <w:p>
      <w:pPr>
        <w:pStyle w:val="EskdText"/>
      </w:pPr>
      <w:r>
        <w:t xml:space="preserve">5.3.7 USB 3.0 (USB 3.2 Gen 1): соединитель USB Type-C.</w:t>
      </w:r>
    </w:p>
    <w:p>
      <w:pPr>
        <w:pStyle w:val="EskdText"/>
      </w:pPr>
      <w:r>
        <w:t xml:space="preserve">5.3.8 Гнездо карты microSD для регистрации измерений.</w:t>
      </w:r>
    </w:p>
    <w:p>
      <w:pPr>
        <w:pStyle w:val="EskdText"/>
      </w:pPr>
      <w:r>
        <w:t xml:space="preserve">5.3.9 Технологические разъёмы: JTAG ПЛИС, SWD микроконтроллера.</w:t>
      </w:r>
    </w:p>
    <w:p>
      <w:pPr>
        <w:pStyle w:val="Heading2"/>
      </w:pPr>
      <w:r>
        <w:t xml:space="preserve">5.4 Требования к электропитанию</w:t>
      </w:r>
    </w:p>
    <w:p>
      <w:pPr>
        <w:pStyle w:val="EskdText"/>
      </w:pPr>
      <w:r>
        <w:t xml:space="preserve">5.4.1 Питание напряжением 5 В от одного из источников с автоматическим выбором (схема «идеальных диодов»):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шина USB VBUS;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порт навигационного приёмника (+5 В полётного контроллера);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порт CAN (+5 В шины DroneCAN).</w:t>
      </w:r>
    </w:p>
    <w:p>
      <w:pPr>
        <w:pStyle w:val="EskdText"/>
      </w:pPr>
      <w:r>
        <w:t xml:space="preserve">Допустимое напряжение питания — от 4,5 до 5,5 В. Питание от бортовой сети БАС (2S…6S) — через внешний стабилизатор 5 В полётного контроллера или шины CAN.</w:t>
      </w:r>
    </w:p>
    <w:p>
      <w:pPr>
        <w:pStyle w:val="EskdText"/>
      </w:pPr>
      <w:r>
        <w:t xml:space="preserve">5.4.2 Потребляемая мощность без учёта антенны: не более 3,5 Вт во всех восьми каналах при работе ПЛИС и USB 3.0.</w:t>
      </w:r>
    </w:p>
    <w:p>
      <w:pPr>
        <w:pStyle w:val="EskdText"/>
      </w:pPr>
      <w:r>
        <w:t xml:space="preserve">5.4.3 Защита: исключение обратного тока между источниками питания; защита входов питания и интерфейсов от электростатических разрядов (ГОСТ 30804.4.2, ±8 кВ контактный разряд).</w:t>
      </w:r>
    </w:p>
    <w:p>
      <w:pPr>
        <w:pStyle w:val="Heading2"/>
      </w:pPr>
      <w:r>
        <w:t xml:space="preserve">5.5 Требования к надёжности</w:t>
      </w:r>
    </w:p>
    <w:p>
      <w:pPr>
        <w:pStyle w:val="EskdText"/>
      </w:pPr>
      <w:r>
        <w:t xml:space="preserve">5.5.1 Средняя наработка на отказ (расчётная): не менее 50 000 ч.</w:t>
      </w:r>
    </w:p>
    <w:p>
      <w:pPr>
        <w:pStyle w:val="EskdText"/>
      </w:pPr>
      <w:r>
        <w:t xml:space="preserve">5.5.2 Средний срок службы: не менее 10 лет.</w:t>
      </w:r>
    </w:p>
    <w:p>
      <w:pPr>
        <w:pStyle w:val="Heading2"/>
      </w:pPr>
      <w:r>
        <w:t xml:space="preserve">5.6 Условия эксплуатации</w:t>
      </w:r>
    </w:p>
    <w:p>
      <w:pPr>
        <w:pStyle w:val="EskdText"/>
      </w:pPr>
      <w:r>
        <w:t xml:space="preserve">5.6.1 Рабочая температура: от минус 40 до плюс 85 °С. Предельная температура хранения: от минус 55 до плюс 105 °С.</w:t>
      </w:r>
    </w:p>
    <w:p>
      <w:pPr>
        <w:pStyle w:val="EskdText"/>
      </w:pPr>
      <w:r>
        <w:t xml:space="preserve">5.6.2 Относительная влажность: до 98 % при 35 °С (с влагозащитным покрытием).</w:t>
      </w:r>
    </w:p>
    <w:p>
      <w:pPr>
        <w:pStyle w:val="EskdText"/>
      </w:pPr>
      <w:r>
        <w:t xml:space="preserve">5.6.3 Синусоидальная вибрация: от 10 до 500 Гц, ускорение до 5g. Механические удары: многократные, до 15g.</w:t>
      </w:r>
    </w:p>
    <w:p>
      <w:pPr>
        <w:pStyle w:val="Heading2"/>
      </w:pPr>
      <w:r>
        <w:t xml:space="preserve">5.7 Требования к ЭМС</w:t>
      </w:r>
    </w:p>
    <w:p>
      <w:pPr>
        <w:pStyle w:val="EskdText"/>
      </w:pPr>
      <w:r>
        <w:t xml:space="preserve">5.7.1 Помехоэмиссия — по ГОСТ CISPR 32 (класс B). Помехоустойчивость — по ГОСТ CISPR 35.</w:t>
      </w:r>
    </w:p>
    <w:p>
      <w:pPr>
        <w:pStyle w:val="EskdText"/>
      </w:pPr>
      <w:r>
        <w:t xml:space="preserve">5.7.2 Излучение гармоник тактовых частот в полосах приёма ГНСС не должно ухудшать отношение сигнал/шум более чем на 0,5 дБ (проверяется по ПМ).</w:t>
      </w:r>
    </w:p>
    <w:p>
      <w:pPr>
        <w:pStyle w:val="Heading2"/>
      </w:pPr>
      <w:r>
        <w:t xml:space="preserve">5.8 Требования к технологичности и элементной базе</w:t>
      </w:r>
    </w:p>
    <w:p>
      <w:pPr>
        <w:pStyle w:val="EskdText"/>
      </w:pPr>
      <w:r>
        <w:t xml:space="preserve">5.8.1 Печатная плата: 8 слоёв, FR-4 (Tg ≥ 170 °С), класс точности 5 по ГОСТ Р 53429-2009. Отверстия под BGA ≥ 0,2 мм. Финишное покрытие ENIG.</w:t>
      </w:r>
    </w:p>
    <w:p>
      <w:pPr>
        <w:pStyle w:val="EskdText"/>
      </w:pPr>
      <w:r>
        <w:t xml:space="preserve">5.8.2 Элементная база — промышленного температурного диапазона. Применение электронной компонентной базы иностранного производства допускается на этапе опытного образца. В ПЗ приводятся отечественные аналоги и оценка возможности импортозамещения.</w:t>
      </w:r>
    </w:p>
    <w:p>
      <w:pPr>
        <w:pStyle w:val="EskdText"/>
      </w:pPr>
      <w:r>
        <w:t xml:space="preserve">5.8.3 Конфигурация ПЛИС собирается полностью открытыми средствами (yosys, nextpnr-ecp5, Project Trellis) без проприетарных САПР.</w:t>
      </w:r>
    </w:p>
    <w:p>
      <w:pPr>
        <w:pStyle w:val="Heading2"/>
      </w:pPr>
      <w:r>
        <w:t xml:space="preserve">5.9 Требования к программному обеспечению</w:t>
      </w:r>
    </w:p>
    <w:p>
      <w:pPr>
        <w:pStyle w:val="EskdText"/>
      </w:pPr>
      <w:r>
        <w:t xml:space="preserve">5.9.1 Состав ПО: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конфигурация ПЛИС (RTL на Verilog-2005);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встроенное ПО микроконтроллера (язык C, стандарт ISO/IEC 9899:1999 — C99);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эталонный программный приёмник и имитатор сигналов (Python 3);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 записи и обработки «сырых» отсчётов на ПК (совместимость с Pocket SDR).</w:t>
      </w:r>
    </w:p>
    <w:p>
      <w:pPr>
        <w:pStyle w:val="EskdText"/>
      </w:pPr>
      <w:r>
        <w:t xml:space="preserve">5.9.2 Исходные тексты ПО и конфигурации ПЛИС поставляются в составе документации. Обновление ПО и конфигурации ПЛИС выполняется через USB или UART без вскрытия изделия.</w:t>
      </w:r>
    </w:p>
    <w:p>
      <w:pPr>
        <w:pStyle w:val="Heading2"/>
      </w:pPr>
      <w:r>
        <w:t xml:space="preserve">5.10 Маркировка и упаковка</w:t>
      </w:r>
    </w:p>
    <w:p>
      <w:pPr>
        <w:pStyle w:val="EskdText"/>
      </w:pPr>
      <w:r>
        <w:t xml:space="preserve">5.10.1 На плату наносятся: обозначение, заводской номер, дата изготовления. Маркировка соединителей — по ГОСТ 2.710.</w:t>
      </w:r>
    </w:p>
    <w:p>
      <w:pPr>
        <w:pStyle w:val="Heading1"/>
      </w:pPr>
      <w:r>
        <w:t xml:space="preserve">6 Требования к видам испытаний</w:t>
      </w:r>
    </w:p>
    <w:p>
      <w:pPr>
        <w:pStyle w:val="EskdText"/>
      </w:pPr>
      <w:r>
        <w:t xml:space="preserve">6.1 Предварительные испытания опытного образца проводятся по программе и методике ШИВА.468157.001 ПМ: автономные, на имитаторе сигналов, натурные.</w:t>
      </w:r>
    </w:p>
    <w:p>
      <w:pPr>
        <w:pStyle w:val="EskdText"/>
      </w:pPr>
      <w:r>
        <w:t xml:space="preserve">6.2 Сравнительные испытания с модулем ZED-F9T по показателям таблицы 2. Оба изделия подключаются к одной антенне или к одному имитатору сигналов через делитель. Импульсы 1PPS сравниваются с эталоном шкалы времени измерителем временных интервалов.</w:t>
      </w:r>
    </w:p>
    <w:p>
      <w:pPr>
        <w:pStyle w:val="Heading1"/>
      </w:pPr>
      <w:r>
        <w:t xml:space="preserve">7 Требования к документации</w:t>
      </w:r>
    </w:p>
    <w:p>
      <w:pPr>
        <w:pStyle w:val="EskdText"/>
      </w:pPr>
      <w:r>
        <w:t xml:space="preserve">7.1 Разрабатываемая документация: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схема электрическая структурная (Э1) и принципиальная (Э3), перечень элементов (ПЭ3);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спецификация, ведомость покупных изделий (ВП);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пояснительная записка (ПЗ) с расчётами и результатами моделирования;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программа и методика испытаний (ПМ);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программные документы на ПО и конфигурацию ПЛИС;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ведомость эскизного проекта (ЭП).</w:t>
      </w:r>
    </w:p>
    <w:p>
      <w:pPr>
        <w:pStyle w:val="EskdText"/>
      </w:pPr>
      <w:r>
        <w:t xml:space="preserve">7.2 Документы оформляются по ГОСТ 2.104, 2.105, 2.106, 2.701, 2.702, 2.710 и по ЕСПД (ГОСТ 19.ххх).</w:t>
      </w:r>
    </w:p>
    <w:p>
      <w:pPr>
        <w:pStyle w:val="Heading1"/>
      </w:pPr>
      <w:r>
        <w:t xml:space="preserve">8 Этапы выполнения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3 — Этапы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655"/>
        <w:gridCol w:w="5805"/>
        <w:gridCol w:w="3461"/>
      </w:tblGrid>
      <w:tr>
        <w:trPr>
          <w:cantSplit/>
          <w:tblHeader/>
        </w:trPr>
        <w:tc>
          <w:tcPr>
            <w:tcW w:w="65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</w:t>
            </w:r>
          </w:p>
        </w:tc>
        <w:tc>
          <w:tcPr>
            <w:tcW w:w="580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Этап</w:t>
            </w:r>
          </w:p>
        </w:tc>
        <w:tc>
          <w:tcPr>
            <w:tcW w:w="34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65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80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Эскизный проект: обзор, архитектура, расчёты, моделирование, схема Э3, RTL коррелятора, эталонное ПО</w:t>
            </w:r>
          </w:p>
        </w:tc>
        <w:tc>
          <w:tcPr>
            <w:tcW w:w="34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Комплект документов эскизного проекта (настоящая поставка)</w:t>
            </w:r>
          </w:p>
        </w:tc>
      </w:tr>
      <w:tr>
        <w:trPr>
          <w:cantSplit/>
        </w:trPr>
        <w:tc>
          <w:tcPr>
            <w:tcW w:w="65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580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Технический проект: трассировка печатной платы, синтез ПЛИС на целевом кристалле, встроенное ПО</w:t>
            </w:r>
          </w:p>
        </w:tc>
        <w:tc>
          <w:tcPr>
            <w:tcW w:w="34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ТП, РКД на плату</w:t>
            </w:r>
          </w:p>
        </w:tc>
      </w:tr>
      <w:tr>
        <w:trPr>
          <w:cantSplit/>
        </w:trPr>
        <w:tc>
          <w:tcPr>
            <w:tcW w:w="65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580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Изготовление опытных образцов (5 шт.), автономная отладка</w:t>
            </w:r>
          </w:p>
        </w:tc>
        <w:tc>
          <w:tcPr>
            <w:tcW w:w="34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Опытные образцы</w:t>
            </w:r>
          </w:p>
        </w:tc>
      </w:tr>
      <w:tr>
        <w:trPr>
          <w:cantSplit/>
        </w:trPr>
        <w:tc>
          <w:tcPr>
            <w:tcW w:w="65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580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Предварительные испытания (имитатор, натурные, на борту БАС)</w:t>
            </w:r>
          </w:p>
        </w:tc>
        <w:tc>
          <w:tcPr>
            <w:tcW w:w="34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Протоколы, корректировка КД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850" w:right="567" w:bottom="1417" w:left="1417" w:header="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sifont">
    <w:charset w:val="00"/>
    <w:family w:val="swiss"/>
    <w:pitch w:val="variable"/>
    <w:embedRegular r:id="rId1" w:fontKey="{9ED5E3DE-E9B3-58E4-9C2E-54D84BA76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1134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ТЗ</w:t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Разраб.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Разработчик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10.2026</w:t>
          </w: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17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Модуль приемника ГНСС МГП-8</w:t>
          </w:r>
        </w:p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Техническое задание</w:t>
          </w:r>
        </w:p>
      </w:tc>
      <w:tc>
        <w:tcPr>
          <w:tcW w:w="85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Лит.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Листов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Пров.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t xml:space="preserve">Э</w:t>
          </w:r>
        </w:p>
      </w:tc>
      <w:tc>
        <w:tcPr>
          <w:tcW w:w="283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PAGE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NUMPAGES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ООО ШИВА НЕТВОРК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Н.контр.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Утв.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ТЗ</w:t>
          </w: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</w:tr>
    <w:tr>
      <w:trPr>
        <w:cantSplit/>
        <w:trHeight w:val="113" w:hRule="exact"/>
      </w:trPr>
      <w:tc>
        <w:tcPr>
          <w:tcW w:w="39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170" w:hRule="exact"/>
      </w:trPr>
      <w:tc>
        <w:tcPr>
          <w:tcW w:w="39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fldChar w:fldCharType="begin"/>
          </w:r>
          <w:r>
            <w:rPr>
              <w:rFonts w:ascii="osifont" w:hAnsi="osifont" w:cs="osifont" w:eastAsia="osifont"/>
              <w:sz w:val="19"/>
              <w:szCs w:val="19"/>
            </w:rPr>
            <w:instrText xml:space="preserve"> PAGE </w:instrTex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separate"/>
          </w:r>
          <w:r>
            <w:rPr>
              <w:rFonts w:ascii="osifont" w:hAnsi="osifont" w:cs="osifont" w:eastAsia="osifont"/>
              <w:sz w:val="19"/>
              <w:szCs w:val="19"/>
            </w:rPr>
            <w:t xml:space="preserve">1</w: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5" o:spid="_x0000_s1025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26" o:spid="_x0000_s1026" o:allowincell="f" filled="f" stroked="f" style="position:absolute;margin-left:21.26pt;margin-top:415.28pt;width:36.85pt;height:415.28pt;z-index:-251657214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  <w:r>
      <w:pict>
        <v:rect id="eskd_side1027" o:spid="_x0000_s1027" o:allowincell="f" filled="f" stroked="f" style="position:absolute;margin-left:21.26pt;margin-top:12.76pt;width:36.85pt;height:344.41pt;z-index:-251657213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Перв. примен.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Справ.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9" o:spid="_x0000_s1029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30" o:spid="_x0000_s1030" o:allowincell="f" filled="f" stroked="f" style="position:absolute;margin-left:21.26pt;margin-top:415.28pt;width:36.85pt;height:415.28pt;z-index:-251657210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xmlns:v="urn:schemas-microsoft-com:vml" xmlns:o="urn:schemas-microsoft-com:office:office" xmlns:w10="urn:schemas-microsoft-com:office:word" w:ascii="Times New Roman" w:hAnsi="Times New Roman" w:cs="Times New Roman" w:eastAsia="Times New Roman"/>
        <w:sz w:val="22"/>
        <w:szCs w:val="22"/>
        <w:lang xmlns:v="urn:schemas-microsoft-com:vml" xmlns:o="urn:schemas-microsoft-com:office:office" xmlns:w10="urn:schemas-microsoft-com:office:word" w:val="ru-RU" w:eastAsia="ru-RU" w:bidi="ar-SA"/>
      </w:rPr>
    </w:rPrDefault>
    <w:pPrDefault>
      <w:pPr>
        <w:spacing xmlns:v="urn:schemas-microsoft-com:vml" xmlns:o="urn:schemas-microsoft-com:office:office" xmlns:w10="urn:schemas-microsoft-com:office:word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xmlns:v="urn:schemas-microsoft-com:vml" xmlns:o="urn:schemas-microsoft-com:office:office" xmlns:w10="urn:schemas-microsoft-com:office:word" w:before="160" w:after="120" w:line="271" w:lineRule="auto"/>
      <w:ind xmlns:v="urn:schemas-microsoft-com:vml" xmlns:o="urn:schemas-microsoft-com:office:office" xmlns:w10="urn:schemas-microsoft-com:office:word" w:firstLine="709"/>
      <w:outlineLvl w:val="0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8"/>
      <w:szCs xmlns:v="urn:schemas-microsoft-com:vml" xmlns:o="urn:schemas-microsoft-com:office:office" xmlns:w10="urn:schemas-microsoft-com:office:word"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120" w:after="80" w:line="271" w:lineRule="auto"/>
      <w:ind xmlns:v="urn:schemas-microsoft-com:vml" xmlns:o="urn:schemas-microsoft-com:office:office" xmlns:w10="urn:schemas-microsoft-com:office:word" w:firstLine="709"/>
      <w:outlineLvl w:val="1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4"/>
      <w:szCs xmlns:v="urn:schemas-microsoft-com:vml" xmlns:o="urn:schemas-microsoft-com:office:office" xmlns:w10="urn:schemas-microsoft-com:office:word"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80" w:after="60" w:line="271" w:lineRule="auto"/>
      <w:ind xmlns:v="urn:schemas-microsoft-com:vml" xmlns:o="urn:schemas-microsoft-com:office:office" xmlns:w10="urn:schemas-microsoft-com:office:word" w:firstLine="709"/>
      <w:outlineLvl w:val="2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2"/>
      <w:szCs xmlns:v="urn:schemas-microsoft-com:vml" xmlns:o="urn:schemas-microsoft-com:office:office" xmlns:w10="urn:schemas-microsoft-com:office:word"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ext">
    <w:name w:val="Текст ЕСКД"/>
    <w:basedOn w:val="Normal"/>
    <w:qFormat/>
    <w:pPr xmlns:v="urn:schemas-microsoft-com:vml" xmlns:o="urn:schemas-microsoft-com:office:office" xmlns:w10="urn:schemas-microsoft-com:office:word">
      <w:spacing w:after="40" w:line="282" w:lineRule="auto"/>
      <w:ind w:firstLine="709"/>
      <w:jc w:val="both"/>
    </w:pPr>
    <w:rPr xmlns:v="urn:schemas-microsoft-com:vml" xmlns:o="urn:schemas-microsoft-com:office:office" xmlns:w10="urn:schemas-microsoft-com:office:word"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ШИВА.468157.001 ТЗ</dc:subject>
  <dc:creator>ООО ШИВА НЕТВОРК</dc:creator>
  <cp:keywords/>
  <dc:description/>
  <cp:lastModifiedBy>ООО ШИВА НЕТВОРК</cp:lastModifiedBy>
  <cp:revision>1</cp:revision>
  <dcterms:created xsi:type="dcterms:W3CDTF">2026-10-01T00:00:00Z</dcterms:created>
  <dcterms:modified xsi:type="dcterms:W3CDTF">2026-10-01T00:00:00Z</dcterms:modified>
  <cp:category/>
</cp:coreProperties>
</file>