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037"/>
        <w:gridCol w:w="6884"/>
      </w:tblGrid>
      <w:tr>
        <w:trPr>
          <w:cantSplit/>
          <w:tblHeader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303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688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16.10.2026):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446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11,8 КБ из 31,5 КБ.</w:t>
      </w:r>
    </w:p>
    <w:p>
      <w:pPr>
        <w:pStyle w:val="EskdText"/>
      </w:pPr>
      <w:r>
        <w:t xml:space="preserve">Буферы режима длительного накопления (группа из 8 PRN — 384 КБ) в это размещение не помещаются. Варианты: разделение по времени с буферами обычного захвата того же объёма (режимы не работают одновременно) или вынос БПФ захвата в ПЛИС (раздел 9).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4.7.2 ВЧ-каналы размещаются группами по четыре под двумя экранами со съёмными крышками. ПЛИС отводит тепло через теплопроводящую прокладку на крышку корпуса (подраздел 5.7).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около 8 мин (≈ 464 с), при C/N0 ≥ 35 дБГц — около 1 мин. Время поиска на пороговом уровне внесено в ТЗ (п. 5.2.3). Сократить его можно двумя путями: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сузить диапазон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использовать альманах при тёплом старте.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827"/>
        <w:gridCol w:w="2630"/>
        <w:gridCol w:w="6464"/>
      </w:tblGrid>
      <w:tr>
        <w:trPr>
          <w:cantSplit/>
          <w:tblHeader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Элемент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Проблема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 480 МГц Tj превышает 105 °С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снижает частоту ядра до 400 МГц при температуре платы выше +70 °С (Tj ≤ 103 °С)</w:t>
            </w:r>
          </w:p>
        </w:tc>
      </w:tr>
      <w:tr>
        <w:trPr>
          <w:cantSplit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запас всего 3 °С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теплопроводящая прокладка на крышку (θJA ≈ 9 °С/Вт, Tj ≈ 91 °С)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31 503 (71 %)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12 833 (29 %)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 (90 %)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 (11 %)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6.2.2 Быстродействие: после размещения и трассировки — 96,90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). Запас 0,9 %; при других начальных значениях (2, 3) — 93,5 и 89,0 МГц, поэтому начальное значение зафиксировано. Критический путь (10,3 нс) — цепь переноса номера чипа на ступени S1 движка коррелятора.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движке.</w:t>
      </w:r>
    </w:p>
    <w:p>
      <w:pPr>
        <w:pStyle w:val="EskdText"/>
      </w:pPr>
      <w:r>
        <w:t xml:space="preserve">Fmax по итерациям: 53,9 → 64,6 → 71…73 → 84…89 → 86…88 → 91,9 → 96,9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55"/>
        <w:gridCol w:w="1986"/>
        <w:gridCol w:w="6625"/>
        <w:gridCol w:w="655"/>
      </w:tblGrid>
      <w:tr>
        <w:trPr>
          <w:cantSplit/>
          <w:tblHeader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проверено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разводка платы — следующий этап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(до 8 мин), повторный захват после перерыва 30 с (0,3 с), слежение по пилоту (21 дБГц)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при снижении частоты МК и отводе тепла ПЛИС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Разводка печатной платы, проверка габаритов и тепловой модели, изготовление опытного образца.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Ускорение холодного старта на пороговом уровне: аппаратный ускоритель БПФ в ПЛИС или перенос захвата на более производительный процессор.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