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240" w:before="40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РОССИЙСКАЯ ФЕДЕРАЦИЯ</w:t>
      </w:r>
    </w:p>
    <w:p>
      <w:pPr>
        <w:spacing w:lineRule="auto" w:line="240" w:before="8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ООО «ШИВА НЕТВОРК» (ShiwaNetwork)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СОГЛАСОВАНО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Руководитель проекта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________________  /________________/</w:t>
      </w:r>
    </w:p>
    <w:p>
      <w:pPr>
        <w:spacing w:lineRule="auto" w:line="240" w:before="0" w:after="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«____» ________________ 2026 г.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48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44"/>
        </w:rPr>
        <w:t>АВРОРА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Система низкоорбитальной спутниковой навигации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2"/>
        </w:rPr>
        <w:t>и высокоточной синхронизации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36"/>
        </w:rPr>
        <w:t>ТЕХНИЧЕСКИЙ ПРОЕКТ</w:t>
      </w:r>
    </w:p>
    <w:p>
      <w:pPr>
        <w:spacing w:lineRule="auto" w:line="240" w:before="16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Документ: АВРОРА-ТП-001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80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Составлен в соответствии с ГОСТ 7.32-2017,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/>
          <w:color w:val="000000"/>
          <w:sz w:val="24"/>
        </w:rPr>
        <w:t>ГОСТ 2.105-2019, ГОСТ Р 7.0.97-2016</w:t>
      </w:r>
    </w:p>
    <w:p>
      <w:pPr>
        <w:spacing w:lineRule="auto" w:line="240" w:before="0" w:after="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</w:r>
    </w:p>
    <w:p>
      <w:pPr>
        <w:spacing w:lineRule="auto" w:line="240" w:before="240" w:after="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Москва — 2026</w:t>
      </w:r>
    </w:p>
    <w:p>
      <w:r>
        <w:br w:type="page"/>
      </w:r>
    </w:p>
    <w:p>
      <w:pPr>
        <w:spacing w:lineRule="auto" w:line="240" w:before="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РЕФЕРАТ</w:t>
      </w:r>
    </w:p>
    <w:p>
      <w:pPr>
        <w:spacing w:lineRule="auto" w:line="360" w:before="0" w:after="20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Отчёт о НИР: ____ с., 183 рис., 126 табл., 46 источн.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Настоящий технический проект описывает систему АВРОРА — низкоорбитальную спутниковую систему позиционирования, навигации и синхронизации (LEO PNT), функционирующую как высокоточное дополнение (усиление) к ГЛОНАСС и обеспечивающую независимую от GPS шкалу времени. Документ содержит аналитические модели и результаты численного моделирования по всем подсистемам: созвездие Walker 300/15/1 на орбите 1000 км, покрытие и геометрия (PDOP), навигационный сигнал L1/L5, синхронизация (девиация Аллана, перенос шкалы по ISL), межспутниковые каналы Ka-диапазона, ионосферная коррекция, орбитальное определение, RAIM/ARAIM, энергетика, масса, тепловой режим, анализ конъюнкций и план развёртывания по пяти фазам.</w:t>
        <w:br/>
        <w:br/>
        <w:t>Объект разработки: LEO-навигационная группировка из 300 КА.</w:t>
        <w:br/>
        <w:t>Расчётные показатели: точность позиционирования H-95% &lt; 1 м (двухчастотный PPP, комбинированный режим с ГЛОНАСС; CEP ≈ 1 м), синхронизация UTC(SU) &lt; 5 нс, доступность по территории РФ 100 %.</w:t>
        <w:br/>
        <w:t>Часовая архитектура: CSAC на всех 300 КА, space-Rb (Quantum-18) на 15 якорных КА, наземный эталон — группа активных водородных мазеров Ч1-1008 (UTC(SU)).</w:t>
        <w:br/>
        <w:br/>
        <w:t>Ключевые слова: LEO, PNT, GNSS, ГЛОНАСС, Walker, ISL, PDOP, UERE, RAIM, девиация Аллана, CSAC, АВРОРА, ГОСТ 7.32, спутниковая навигация.</w:t>
      </w:r>
    </w:p>
    <w:p>
      <w:r>
        <w:br w:type="page"/>
      </w:r>
    </w:p>
    <w:p>
      <w:pPr>
        <w:spacing w:lineRule="auto" w:line="240" w:before="0" w:after="28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СОДЕРЖАНИЕ</w:t>
      </w:r>
    </w:p>
    <w:p>
      <w:pPr>
        <w:spacing w:lineRule="auto" w:line="360" w:before="0" w:after="0"/>
        <w:ind w:firstLine="0"/>
      </w:pPr>
      <w:r>
        <w:fldChar w:fldCharType="begin"/>
        <w:instrText xml:space="preserve">TOC \o "1-3" \h \z \u</w:instrText>
        <w:fldChar w:fldCharType="separate"/>
      </w:r>
      <w:r>
        <w:rPr>
          <w:rFonts w:ascii="Times New Roman" w:hAnsi="Times New Roman"/>
          <w:b w:val="0"/>
          <w:i/>
          <w:color w:val="555555"/>
          <w:sz w:val="22"/>
        </w:rPr>
        <w:t>Оглавление формируется в Word: выделить всё (Ctrl+A) и нажать F9.</w:t>
      </w:r>
      <w:r>
        <w:fldChar w:fldCharType="end"/>
      </w:r>
    </w:p>
    <w:p>
      <w:pPr>
        <w:spacing w:lineRule="auto" w:line="240" w:before="160" w:after="0"/>
        <w:ind w:firstLine="0"/>
      </w:pPr>
      <w:r>
        <w:rPr>
          <w:rFonts w:ascii="Times New Roman" w:hAnsi="Times New Roman"/>
          <w:b w:val="0"/>
          <w:i/>
          <w:color w:val="555555"/>
          <w:sz w:val="18"/>
        </w:rPr>
        <w:t>[Для обновления оглавления откройте в Word и нажмите Ctrl+A, затем F9]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  СПИСОК СОКРАЩЕНИЙ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Аббревиатура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Расшифровка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(AURORA)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Autonomous Universal Radio Orbital Reference Architecture (наименование системы; в тексте — АВРОРА, в коде/путях — AURORA)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PNT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Positioning, Navigation and Timing (Позиционирование, навигация и время)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 Earth Orbit (Низкая околоземная орбита)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(Межспутниковый канал)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Global Navigation Satellite System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SDCM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дифференциальной коррекции и мониторинга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RAIM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Receiver Autonomous Integrity Monitoring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Position Dilution of Precision (Снижение точности по положению)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Horizontal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Vertical DOP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User Equivalent Range Error (Эквивалентная ошибка дальности пользователя)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ADEV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 Deviation (Девиация Аллана)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Total Electron Content (Полное электронное содержание)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TECU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TEC Unit (10¹⁶ эл/м²)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 To First Fix (Время до первого определения координат)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Mission Control Segment (Наземный комплекс управления)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LEO Precision Timing (Прецизионная синхронизация по НОО)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Collision Avoidance Manoeuvre (Манёвр предотвращения столкновения)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BOL/EOL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Beginning/End of Life (Начало/конец срока службы)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Solar Array (Солнечная батарея)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Oven-Controlled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Temperature-Compensated Crystal Oscillator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Radial/Along-track/Cross-track (координатная система ошибок орбиты)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Free-Space Path Loss (Потери в свободном пространстве)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Carrier-to-Noise density ratio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dB-Hz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Децибел-герц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Open Service Navigation Message Authentication (Galileo)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Ionosphere-Free combination (Двухчастотная комбинация)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WGS-84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World Geodetic System 1984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TAI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Atomic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Coordinated Universal Time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Государственная комиссия по радиочастотам РФ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РКН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Роскомнадзор (Федеральная служба по надзору в сфере связи)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MIFR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Master International Frequency Register (МСЭ)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Navigation Satellite Service (Спутниковая радионавигационная служба)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EPFD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Equivalent Power Flux Density (Эквивалентная ПФП)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Advance Publication Information (МСЭ, Приложение 4)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Coordination Request (Запрос координации МСЭ)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ANAV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Aurora NAVigation message (навигационное сообщение АВРОРА)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Spectral Separation Coefficient (Коэффициент спектрального разделения)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State-Space Representation (Представление в пространстве состояний,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Reference Station Network (Сеть опорных станций PPP-RTK)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Timed Efficient Stream Loss-tolerant Authentication (аутентификация с задержкой раскрытия ключа)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Message Authentication Code (имитовставка, код аутентификации сообщения)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Hash-based MAC (имитовставка на хэш-функции)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(ГОСТ Р 34.10-2012)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Стрибог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Хэш-функция ГОСТ Р 34.11-2012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Кузнечик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Блочный шифр ГОСТ Р 34.12-2015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MGM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Multilinear Galois Mode (режим AEAD, ГОСТ Р 34.13-2015 / RFC 9058)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HSM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Hardware Security Module (аппаратный модуль безопасности)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Критическая информационная инфраструктура (ФЗ-187)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СКЗИ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Средство криптографической защиты информации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ПЗ-90.11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Параметры Земли 1990 (уточнение 2011) — геодезический датум РФ/ГЛОНАСС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ITRF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International Terrestrial Reference Frame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EOP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Earth Orientation Parameters (параметры вращения Земли: UT1−UTC, координаты полюса)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ECI / ECEF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инерциальная / связанная с Землёй система координат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TGD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Group Delay (межчастотная аппаратная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DCB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Differential Code Bias (дифференциальное кодовое смещение)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Precise Point Positioning (Точное позиционирование единственного пункта)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RTK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Real-Time Kinematic (Кинематика в реальном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Precision Time Protocol (IEEE 1588, протокол точного времени)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PTP²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— одноранговый сетевой протокол синхронизации (ShiwaNetwork)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TWSTT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Two-Way Satellite Time Transfer (двусторонняя передача времени через 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P2P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Peer-to-Peer (одноранговая сеть)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Round-Trip Time (круговая задержка)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MAD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Median Absolute Deviation (медианное абсолютное отклонение)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TC/BC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Transparent/Boundary Clock (PTP-коммутаторы)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DHT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Distributed Hash Table (распределённая хеш-таблица)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Chip-Scale Atomic Clock (чип-масштабный атомный стандарт, КПН)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H-мазер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водородный мазер (наземный эталон частоты и времени)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  ВВЕДЕНИЕ И ЦЕЛИ ПРОЕКТА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2.1  Предпосылки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Современные глобальные навигационные спутниковые системы (ГЛОНАСС, GPS, Galileo, BDS) работают на средних орбитах (MEO, ~20 000 км). Это определяет ключевые ограничения: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Слабый сигнал: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FSPL на 20 000 км ≈ 183 дБ против 156 дБ на 1000 км (зенит) — разница </w:t>
      </w:r>
      <w:r>
        <w:rPr>
          <w:rFonts w:ascii="Times New Roman" w:hAnsi="Times New Roman"/>
          <w:b/>
          <w:i w:val="0"/>
          <w:color w:val="000000"/>
          <w:sz w:val="28"/>
        </w:rPr>
        <w:t>26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пути свободного пространства (FSPL = 32,45 + 20log f</w:t>
      </w:r>
      <w:r>
        <w:rPr>
          <w:rFonts w:ascii="Times New Roman" w:hAnsi="Times New Roman"/>
          <w:b w:val="0"/>
          <w:i/>
          <w:color w:val="000000"/>
          <w:sz w:val="28"/>
        </w:rPr>
        <w:t>МГц + 20log d</w:t>
      </w:r>
      <w:r>
        <w:rPr>
          <w:rFonts w:ascii="Times New Roman" w:hAnsi="Times New Roman"/>
          <w:b w:val="0"/>
          <w:i w:val="0"/>
          <w:color w:val="000000"/>
          <w:sz w:val="28"/>
        </w:rPr>
        <w:t>км).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Высокое PDOP в полярных районах: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наклонения 55–65° дают ограниченное покрытие выше 70° с.ш.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Медленное синхронизирующее действие: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время передачи сигнала ~67 мс; у LEO — 3,3 мс.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Уязвимость к радиоэлектронному подавлению: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меньший сигнал — легче глушить.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Зависимость от иностранных систем: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Россия эксплуатирует ГЛОНАСС, но орбитальная группировка MEO является стратегически уязвимой инфраструктурой.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разрабатывается как низкоорбитальное дополнение и, в перспективе, замена MEO-навигации, с улучшенными характеристиками сигнала, синхронизации и геометрии покрытия.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2.2  Стратегические цели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Суверенная 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наносекундная точность UTC(SU) без зависимости от GPS-времени.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Высокоточная навигация: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H-95% &lt; 0,5 м (PPP-RTK, двухчастотный пользователь).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Покрытие: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100% России при 4+ спутниках одновременно к Фазе 3 (180 спутников); ограниченный региональный сервис (≈82% видимость 4+) — с Фазы 2 (90 спутников).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Помехозащищённость: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защищённый Сервис Б (§65) на +23 дБ сильнее сигнала MEO-ГНСС (ГЛОНАСС) → порог подавления в 200 раз выше по мощности; открытый Сервис А (RNSS-совместимый) — +11 дБ в рамках маски ПФП МСЭ.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TIR &lt; 10⁻⁷/ч, ТТPR &lt; 10 с (соответствует CAT-I ILS).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Автономность: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орбитальное определение без наземного контакта через ISL-сеть (&gt;72 ч).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2.3  Основные технические характеристики (целевые)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Высота орбиты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спутников (полная группировка)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Частоты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L1 (1575,42 МГц), L5 (1176,45 МГц); Сервис Б: выдел. L-полоса (§65)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Сервис А: 5 Вт (L1), 3 Вт (L5); Сервис Б: 30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позиционирования (H-95%)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(L1+L5, PPP)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времени (1σ)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нс (бортовой CSAC, дисциплинирован)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TTFF (тёплый / холодный старт)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с / &lt; 21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сервиса (Россия)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99,9%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3–4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активного существования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спутника (влажная)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  СИСТЕМНАЯ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3.1  Сегменты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состоит из трёх сегментов: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КОСМИЧЕСКИЙ СЕГМЕНТ                   │</w:t>
        <w:br/>
        <w:t>│  ┌────────┐  ISL  ┌────────┐  ISL  ┌────────┐          │</w:t>
        <w:br/>
        <w:t>│  │  КА-1  │◄─────►│  КА-2  │◄─────►│  КА-N  │  ...    │</w:t>
        <w:br/>
        <w:t>│  └────────┘       └────────┘       └────────┘          │</w:t>
        <w:br/>
        <w:t>│      │                 │                 │              │</w:t>
        <w:br/>
        <w:t>└──────┼─────────────────┼─────────────────┼──────────────┘</w:t>
        <w:br/>
        <w:t xml:space="preserve">       │ L1/L5 навиг.    │                 │</w:t>
        <w:br/>
        <w:t xml:space="preserve">       ▼          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ПОЛЬЗОВАТЕЛЬСКИЙ СЕГМЕНТ              │</w:t>
        <w:br/>
        <w:t>│   Авиация  │  Морской  │  Автомобиль  │  Геодезия      │</w:t>
        <w:br/>
        <w:t>└─────────────────────────────────────────────────────────┘</w:t>
        <w:br/>
        <w:t xml:space="preserve">       │                 │</w:t>
        <w:br/>
        <w:t xml:space="preserve">       ▼                 ▼</w:t>
        <w:br/>
        <w:t>┌─────────────────────────────────────────────────────────┐</w:t>
        <w:br/>
        <w:t>│                   НАЗЕМНЫЙ СЕГМЕНТ (МКС)                │</w:t>
        <w:br/>
        <w:t>│  21 станция слежения  │  ЦУП  │  СДКМ-интерфейс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3.2  Космический аппарат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Спутник АВРОРА строится на платформе класса 140 кг (малый спутник) со следующей архитектурой подсистем: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передатчика L1/L5, антенна RHCP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полезная нагрузка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 Ka-диапазон двунаправленных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(все КА) + space-Rb (15 якорных)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 / 1,9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ориентации (ADCS)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Звёздные датчики, маховики, магниторезисторы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Ионный/холодный газ, ΔV = 50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кг + топливо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СБ 2× 1,5 м², АКБ Li-Ion 90 Вт·ч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Радиационно-стойкий ARM, 4 ГБ MRAM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и ТКС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Корпус Al-сплав, MLI, радиатор 0,6 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сухая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35–40 кг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влажная масса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кг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3.3  Наземный сегмент (МКС АВРОРА)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21 станция слежения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расположены в России и странах-партнёрах: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15 станций покрывают широты 15°–70° с.ш. (Россия, Казахстан, Белоруссия)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6 международных станций (широты −30° до +80°) для глобального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Каждая станция оснащена: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Прецизионный ГНСС/АВРОРА приёмник (двухчастотный)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Группа активных водородных мазеров Ч1-1008 (ВРЕМЯ-Ч) — эталон UTC(SU)/AT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Канал телеметрии/командования (S-диапазон)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Метеорологические датчики (тропосферная коррекция)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3.4  Концептуальные иллюстрации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Ниже приведены четыре наглядные схемы, показывающие принцип работы АВРОРА с различными категориями потребителей.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3.1 — Системная концепция: спутник, сигнал, потребители, наземный сегмент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762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ystem_overview_phase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762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Системная концепция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*Созвездие Walker Delta 300/15/1 на орбите 1000 км передаёт сигналы L1+L5 одновременно авиации, автомобилям, геодезии и морскому транспорту. Наземный сегмент МКС (21 станция) обменивается данными по S-диапазону. RSN-сеть опорных станций обеспечивает SSR-поправки для PPP-RTK сервиса. ISL Ka-диапазон (26 ГГц) связывает соседние спутники в созвездии.*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3.2 — Сценарии применения по четырём классам потребителей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9798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ervice_scenarios_phase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97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Сценарии применения АВРОРА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+ 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верт.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с (горячий)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Геодезия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PPP-RTK + RSN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0,5–1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/ БПЛА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/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 (тёплый)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LPT · ISL-сетка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 UTC(SU)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3.3 — АВРОРА LEO vs MEO-ГНСС (ГЛОНАСС): преимущество сигнала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484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leo_vs_meo_phas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АВРОРА LEO vs ГЛОНАСС (MEO): преимущество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*LEO-орбита 1000 км обеспечивает более сильный сигнал по сравнению с MEO-ГНСС (ГЛОНАСС, ~19 100 км): защищённый Сервис Б в выделенной полосе — на +23 дБ (×200 устойчивости к подавлению), открытый Сервис А в RNSS-полосе — на +11 дБ под маской ПФП МСЭ (см. двухсервисную архитектуру §65). Обратная сторона — более высокий Доплер (±38,6 кГц, 38,6 Гц/с) и короткое время пролёта (~11 мин), что определяет требования к приёмнику (§42).*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Рисунок 3.4 — Поток сигнала и данных от атомных часов до навигационного решения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118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signal_flow_phase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11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сигнала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*Цепочка: H-мазер Ч1-1008 (наземный эталон) → бортовой CSAC (дисциплинирован по ISL) → навигационный передатчик (L1 5 Вт / L5 3 Вт) → сигнал через 1000 км (FSPL −159 дБ, задержка 3,3 мс) → приёмник (≥ 45 дБ·Гц, 238 каналов) → Kalman-фильтр с IF-комбинацией L1+L5 → PNT решение &lt; 0,5 м / &lt; 5 нс UTC(SU).*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  ПРОЕКТИРОВАНИЕ СОЗВЕЗДИЯ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4.1  Тип созвездия: Walker Delta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Созвездие АВРОРА использует конфигурацию </w:t>
      </w:r>
      <w:r>
        <w:rPr>
          <w:rFonts w:ascii="Times New Roman" w:hAnsi="Times New Roman"/>
          <w:b/>
          <w:i w:val="0"/>
          <w:color w:val="000000"/>
          <w:sz w:val="28"/>
        </w:rPr>
        <w:t>Walker Delta (Δ)</w:t>
      </w:r>
      <w:r>
        <w:rPr>
          <w:rFonts w:ascii="Times New Roman" w:hAnsi="Times New Roman"/>
          <w:b w:val="0"/>
          <w:i w:val="0"/>
          <w:color w:val="000000"/>
          <w:sz w:val="28"/>
        </w:rPr>
        <w:t>, которая обеспечивает оптимальную однородность покрытия для заданного числа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Нотация Walker: </w:t>
      </w:r>
      <w:r>
        <w:rPr>
          <w:rFonts w:ascii="Times New Roman" w:hAnsi="Times New Roman"/>
          <w:b/>
          <w:i w:val="0"/>
          <w:color w:val="000000"/>
          <w:sz w:val="28"/>
        </w:rPr>
        <w:t>T/P/F</w:t>
      </w:r>
      <w:r>
        <w:rPr>
          <w:rFonts w:ascii="Times New Roman" w:hAnsi="Times New Roman"/>
          <w:b w:val="0"/>
          <w:i w:val="0"/>
          <w:color w:val="000000"/>
          <w:sz w:val="28"/>
        </w:rPr>
        <w:t>, где: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суммарное число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орбитальных плоскостей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F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фазовый сдвиг (смещение фазы между соседними плоскостями, в долях периода)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 созвездия (Фаза 4, полная группировка):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Walker 300/15/1, i = 75°, h = 1000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плоскостями: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ΔΩ = (360°/P) = (360°/15) = 24°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Угловой промежуток между спутниками в плоскости: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u = (360°/T/P) = (360°/20) = 18°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Фазовый сдвиг F=1: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Δφ = (F · 360°/T) = (360°/300) = 1,2°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4.2  Орбитальные параметры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Высота h = 1000 км: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Большая полуось орбиты: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 = R_⊕ + h = 6371 + 1000 = 7371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Орбитальный период: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T_orb = 2π√((a³/μ)) = 2π√(((7,371 × 10⁶)³/3,986 × 10¹⁴)) ≈ 6305 с ≈ 105 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скорость: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v_orb = √((μ/a)) = √((3,986 × 10¹⁴/7,371 × 10⁶)) ≈ 7,35 км/с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Орбитальная угловая скорость (среднее движение вокруг центра Земли):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dotθ_orb = (v_orb/a) · (180°/π) ≈ 3,43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Видимая угловая скорость для наземного наблюдателя максимальна в зените (дальность ≈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dotθ_app,max ≈ (v_orb/h) · (180°/π) ≈ 25 °/мин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Это означает, что спутник АВРОРА проходит видимую часть небосвода за </w:t>
      </w:r>
      <w:r>
        <w:rPr>
          <w:rFonts w:ascii="Times New Roman" w:hAnsi="Times New Roman"/>
          <w:b/>
          <w:i w:val="0"/>
          <w:color w:val="000000"/>
          <w:sz w:val="28"/>
        </w:rPr>
        <w:t>10–13 минут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(высокий проход, маска 10°), тогда как MEO-спутник GPS остаётся в зоне видимости несколько часов. Высокая динамика определяет требования к ширине полосы следящих фильтров и к частоте смены рабочих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 Доплера: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сдвиг частоты для LEO-спутника: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(v_rel/c)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 (1575,42 МГц), </w:t>
      </w:r>
      <w:r>
        <w:rPr>
          <w:rFonts w:ascii="Courier New" w:hAnsi="Courier New"/>
          <w:b w:val="0"/>
          <w:i w:val="0"/>
          <w:color w:val="000000"/>
          <w:sz w:val="28"/>
        </w:rPr>
        <w:t>v_rel,max ≈ v_orb = 7,35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= (7350/299792458) × 1575,42 × 10⁶ ≈ ± 38,6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L5 (1176,45 МГц):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f_max ≈ ± 28,8 кГц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(4.12)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определяет требования к поиску по частоте при захвате сигнала и к ширине полосы петли следящего фильтра.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4.3  Фазы развёртывания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Плоскостей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Сп./плоск.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 запуска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Наклонение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Фазы 0–1 — технологический демонстратор (накл. 87°, проверка SGP4-навигации, калибровка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часов и ISL; навигационное покрытие ≈0% по построению). С Фазы 2 созвездие переходит на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рабочее наклонение 75° (оптимум PDOP для России + Арктики, см. §4.1).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4.4  Обоснование выбора высоты 1000 км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1500 км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Период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158 дБ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 дБ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Пояс Ван Аллена (TID за 7 лет, кРад)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15–25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Поток мусора (&gt;10 см)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Ниже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Снижается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Потребный ΔV (орбита→ MO)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120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м/с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задержки сигнала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3,3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Высота 1000 км выбрана как </w:t>
      </w:r>
      <w:r>
        <w:rPr>
          <w:rFonts w:ascii="Times New Roman" w:hAnsi="Times New Roman"/>
          <w:b/>
          <w:i w:val="0"/>
          <w:color w:val="000000"/>
          <w:sz w:val="28"/>
        </w:rPr>
        <w:t>компромисс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между радиационной нагрузкой (&lt; 1500 км) и приемлемой задержкой сигнала. Ниже 600 км существенно возрастает аэродинамическое торможение (срок жизни &lt; 5 лет без двигателей).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  АНАЛИЗ ЗОН ПОКРЫТИЯ И ГЕОМЕТРИИ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5.1  Аналитическая модель видимости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Угол видимости спутника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(маскирующий угол возвышения </w:t>
      </w:r>
      <w:r>
        <w:rPr>
          <w:rFonts w:ascii="Courier New" w:hAnsi="Courier New"/>
          <w:b w:val="0"/>
          <w:i w:val="0"/>
          <w:color w:val="000000"/>
          <w:sz w:val="28"/>
        </w:rPr>
        <w:t>ε_min = 10°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Максимальный центральный угол от подспутниковой точки: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((R_⊕/R_⊕ + h)cosε_min) - ε_min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h = 1000 км, </w:t>
      </w:r>
      <w:r>
        <w:rPr>
          <w:rFonts w:ascii="Courier New" w:hAnsi="Courier New"/>
          <w:b w:val="0"/>
          <w:i w:val="0"/>
          <w:color w:val="000000"/>
          <w:sz w:val="28"/>
        </w:rPr>
        <w:t>ε_min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ρ_max = arccos ((6371/7371)cos 10°) - 10° ≈ 31,7° - 10° = 21,7°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Телесный угол зоны покрытия одного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Ω_cov = 2π(1 - cosρ_max) ≈ 2π(1 - 0,929) = 0,446 ср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Процент поверхности Земли, покрытый одним спутником: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f_cov = (Ω_cov/4π) = (1 - cosρ_max/2) ≈ 3,55%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Среднее число видимых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полной группировки (300 спутников), оценка по равномерной модели: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N_sats · f_cov = 300 × 0,0355 ≈ 10,6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Симуляция Walker 300/15 с </w:t>
      </w:r>
      <w:r>
        <w:rPr>
          <w:rFonts w:ascii="Courier New" w:hAnsi="Courier New"/>
          <w:b w:val="0"/>
          <w:i w:val="0"/>
          <w:color w:val="000000"/>
          <w:sz w:val="28"/>
        </w:rPr>
        <w:t>i = 75°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даёт диапазон 7–22 видимых спутников (маска 10°) в зависимости от широты: минимум на экваторе (~7), максимум в полосе ±75° (≈20–22) — следствие концентрации спутников вблизи наклонения. См. §46.2 для подробной табл. PDOP/N_vis по широтам.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5.2  Широтная зависимость покрытия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Walker-созвездия с наклонением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Экватор: спутники проходят реже, чем на широтах </w:t>
      </w:r>
      <w:r>
        <w:rPr>
          <w:rFonts w:ascii="Courier New" w:hAnsi="Courier New"/>
          <w:b w:val="0"/>
          <w:i w:val="0"/>
          <w:color w:val="000000"/>
          <w:sz w:val="28"/>
        </w:rPr>
        <w:t>≈ i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75°: максимальная плотность проходов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Широта &gt;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: уменьшение, поскольку спутники никогда не бывают прямо в зените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Измеренное среднее число видимых спутников по фазам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 (3)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(12)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 (90)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 (180)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 (300)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Широтный профиль N_vis для развёрнутой системы (Фаза 4) — измеренные значения от </w:t>
      </w:r>
      <w:r>
        <w:rPr>
          <w:rFonts w:ascii="Times New Roman" w:hAnsi="Times New Roman"/>
          <w:b/>
          <w:i w:val="0"/>
          <w:color w:val="000000"/>
          <w:sz w:val="28"/>
        </w:rPr>
        <w:t>7,1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(экватор) до </w:t>
      </w:r>
      <w:r>
        <w:rPr>
          <w:rFonts w:ascii="Times New Roman" w:hAnsi="Times New Roman"/>
          <w:b/>
          <w:i w:val="0"/>
          <w:color w:val="000000"/>
          <w:sz w:val="28"/>
        </w:rPr>
        <w:t>20,7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(±75°) — приведён в §46.2. Максимум плотности приходится на широты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 наклонения (75°), минимум — на экваторе и выше 80°.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Карты покрытия (N_vis и PDOP) — все фазы: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n_vis_all_phas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N_vis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8555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pdop_all_phas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85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— все фазы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verage_vs_lat_all_phas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от широты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5.3  Оценка PDOP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Эмпирическая формула PDOP: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≈ frac5,0√(max(N_vis - 3; 0,5)) · g(φ)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геометрический фактор: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g(φ) = 1,0 &amp; |φ| ≤ i 1,5 &amp; |φ| &gt; i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(5.19)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симуляции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(из </w:t>
      </w:r>
      <w:r>
        <w:rPr>
          <w:rFonts w:ascii="Courier New" w:hAnsi="Courier New"/>
          <w:b w:val="0"/>
          <w:i w:val="0"/>
          <w:color w:val="7B0000"/>
          <w:sz w:val="22"/>
        </w:rPr>
        <w:t>results/phase*/summary_*.json</w:t>
      </w:r>
      <w:r>
        <w:rPr>
          <w:rFonts w:ascii="Times New Roman" w:hAnsi="Times New Roman"/>
          <w:b w:val="0"/>
          <w:i w:val="0"/>
          <w:color w:val="000000"/>
          <w:sz w:val="28"/>
        </w:rPr>
        <w:t>; покрытие Фаз 2–3 — по сетке РФ, Фаза 4 — глобально):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Геом.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Сетка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4+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PDOP&lt;6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ср.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0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 ср.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9×10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82,2%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61,8%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12×15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96,7%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</w:tr>
      <w:tr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15×20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глоб.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97,3%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0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Чтение результатов: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Фаза 2 (90 сп.) даёт присутствие над РФ (82% видимость 4+), но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геометрия ещё рыхлая (PDOP&lt;6 лишь 62%, p95≈35) — это «ограниченный сервис». Полноценная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точность над РФ достигается на Фазе 3 (180 сп.: 100% покрытие, PDOP&lt;6 97%, p95≈5,1). Фаза 4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распространяет глобальный 100% охват (PDOP&lt;6 97%, средн. N_vis 13,9).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5.4  Сравнение с MEO-ГНСС (ГЛОНАСС)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(24 спутника, 19 100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Ф4 (300 спутников, 1000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среднее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8–10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13,9 (диапазон 7,1–20,7 по широте)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(глоб.)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1,8–2,2 (p50)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ср. / 5,0 p95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~183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~156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~−119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Геометрическое обновление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медленное (~3°/мин)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быстрое (57°/мин)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  ЧАСТОТНЫЙ ПЛАН И НАВИГАЦИОННЫЙ СИГНАЛ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6.1  Выбор частот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АВРОРА использует частоты, совместимые с существующей инфраструктурой GNSS: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Частота (МГц)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Длина волны (см)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Основной навигационный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25,48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Двухчастотная коррекция ионосферы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26 500 / 25 500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Межспутниковая связь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S-диапазон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2025–2110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~14,5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Телеметрия/командование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Обоснование L1/L5: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основная частота GPS/Galileo/ГЛОНАСС; совместимость с существующими приёмниками.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вторая гражданская частота GPS (сигнал E5a Galileo); защищена ITU для навигации.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Ионосферная свободная комбинация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L1+L5 (по псевдодальностям):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α_1 ρ_1 - α_2 ρ_2 = (f_1² ρ_1 - f_2²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Коэффициенты комбинации (безразмерные):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α_1 = (f_1²/f_1² - f_2²) = (1575,42²/1575,42² - 1176,45²) ≈ 2,261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(6.21)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α_2 = (f_2²/f_1² - f_2²) ≈ 1,261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Дисперсия комбинации: </w:t>
      </w:r>
      <w:r>
        <w:rPr>
          <w:rFonts w:ascii="Courier New" w:hAnsi="Courier New"/>
          <w:b w:val="0"/>
          <w:i w:val="0"/>
          <w:color w:val="000000"/>
          <w:sz w:val="28"/>
        </w:rPr>
        <w:t>σ_IF = √(α_1² + α_2²)·σ ≈ 2,59σ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плата за устранение ионосферы.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6.2  Модуляция и кодовая структура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L1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Data: </w:t>
      </w:r>
      <w:r>
        <w:rPr>
          <w:rFonts w:ascii="Times New Roman" w:hAnsi="Times New Roman"/>
          <w:b/>
          <w:i w:val="0"/>
          <w:color w:val="000000"/>
          <w:sz w:val="28"/>
        </w:rPr>
        <w:t>BOC(1,1)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1,023 Мчип/с на поднесущей 1,023 МГц; Weil-коды n=10 223; ширина полосы 8,184 МГц (null-to-null)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L1 Pilot: </w:t>
      </w:r>
      <w:r>
        <w:rPr>
          <w:rFonts w:ascii="Times New Roman" w:hAnsi="Times New Roman"/>
          <w:b/>
          <w:i w:val="0"/>
          <w:color w:val="000000"/>
          <w:sz w:val="28"/>
        </w:rPr>
        <w:t>TMBOC(6,1,4/33)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смесь 29/33 BOC(1,1) + 4/33 BOC(6,1); те же Weil-коды; β</w:t>
      </w:r>
      <w:r>
        <w:rPr>
          <w:rFonts w:ascii="Times New Roman" w:hAnsi="Times New Roman"/>
          <w:b w:val="0"/>
          <w:i/>
          <w:color w:val="000000"/>
          <w:sz w:val="28"/>
        </w:rPr>
        <w:t>G = 6,17 МГц;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см; пик MP = 3,78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Разбивка мощности: 50% data / 50% pilot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L5 — двухкомпонентный сигнал (Data + Pilot):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Data: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10,23 Мчип/с; Extended Memory ≥350 кодов; ширина полосы 20,46 МГц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L5 Pilot: </w:t>
      </w:r>
      <w:r>
        <w:rPr>
          <w:rFonts w:ascii="Times New Roman" w:hAnsi="Times New Roman"/>
          <w:b/>
          <w:i w:val="0"/>
          <w:color w:val="000000"/>
          <w:sz w:val="28"/>
        </w:rPr>
        <w:t>BPSK(10)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 же, без прерывания для слежения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*Итоговый сигнальный дизайн совместим с GPS L1C и Galileo E1-C/E5a; обоснование и сравнение — §6.5–§6.8.*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Доплеровский эффект и захват: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(jerk):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 = (a_rel/c) · f_0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Максимальное ускорение (LEO, разворот геометрии):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a_rel,max ≈ (v_orb²/a) ≈ ((7350)²/7,371 × 10⁶) ≈ 7,33 м/с²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изменения доплера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dot f_D,max = (7,33/3 × 10⁸) × 1,575 × 10⁹ ≈ 38,5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в 5–10 раз быстрее, чем у MEO GNSS (3–5 Гц/с), что определяет требования к петле слежения с шириной полосы ≥ 5 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6.3  Частотный план (иллюстрация)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eq_plan_phase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АВРОРА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pler_phase3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6.4  Электромагнитная совместимость (ЭМС)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совместимости с GPS L1/L5, Galileo E1/E5a, ГЛОНАСС L1/L3: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Мощность в точке пользователя АВРОРА L1: ≈ −107 дБм у Сервиса Б (выделенная полоса) и −119 дБм у Сервиса А (RNSS), против −130 дБм MEO-ГНСС (§65)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Потенциальное взаимное влияние: </w:t>
      </w:r>
      <w:r>
        <w:rPr>
          <w:rFonts w:ascii="Times New Roman" w:hAnsi="Times New Roman"/>
          <w:b/>
          <w:i w:val="0"/>
          <w:color w:val="000000"/>
          <w:sz w:val="28"/>
        </w:rPr>
        <w:t>минимальное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сигналы ортогональны по коду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Требование ITU-R M.1787: соблюдено — АВРОРА работает в защищённых RNSS полосах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rference_phase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Интерференционный анализ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6.5  Сравнительный анализ модуляций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Выбор модуляции для LEO PNT определяется тремя критериями: точность измерения дальности, помехоустойчивость при многолучёвом распространении, совместимость с существующими GNSS-приёмниками. Проведён численный анализ шести кандидатов.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Методология.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Ширина полосы по критерию Габора: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β_G = √(f_sub² + (f_c²/3))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f_sub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частота подносителя BOC, </w:t>
      </w:r>
      <w:r>
        <w:rPr>
          <w:rFonts w:ascii="Courier New" w:hAnsi="Courier New"/>
          <w:b w:val="0"/>
          <w:i w:val="0"/>
          <w:color w:val="000000"/>
          <w:sz w:val="28"/>
        </w:rPr>
        <w:t>f_c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скорость чипов кода. Для BPSK: </w:t>
      </w:r>
      <w:r>
        <w:rPr>
          <w:rFonts w:ascii="Courier New" w:hAnsi="Courier New"/>
          <w:b w:val="0"/>
          <w:i w:val="0"/>
          <w:color w:val="000000"/>
          <w:sz w:val="28"/>
        </w:rPr>
        <w:t>β_G = f_c / √(3)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Среднеквадратичная ошибка измерения дальности при C/N₀: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σ_τ = (c/2π · β_G · √(C/N_0 · 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Огибающая пика корреляции (пиковая амплитуда многолучёвости):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A_MP(Δτ) = |ACF(Δτ)|²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численного расчёта (C/N₀ = 40 дБ·Гц, T = 20 мс):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Пик MP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114,3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Устаревшая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7,33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канал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L1C / Galileo E1-B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3,78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L1C / Galileo E1-C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BOC(10,5)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10,65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E1-A (PRS)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AltBOC(15,10)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16,44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Широкая 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gabor_phase4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Ширина полосы Габора по модуляциям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multipath_phase4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Огибающая многолучёвости по модуляциям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TMBOC(6,1,4/33) обеспечивает β</w:t>
      </w:r>
      <w:r>
        <w:rPr>
          <w:rFonts w:ascii="Times New Roman" w:hAnsi="Times New Roman"/>
          <w:b w:val="0"/>
          <w:i/>
          <w:color w:val="000000"/>
          <w:sz w:val="28"/>
        </w:rPr>
        <w:t>G = 6,17 МГц при σ</w:t>
      </w:r>
      <w:r>
        <w:rPr>
          <w:rFonts w:ascii="Times New Roman" w:hAnsi="Times New Roman"/>
          <w:b w:val="0"/>
          <w:i w:val="0"/>
          <w:color w:val="000000"/>
          <w:sz w:val="28"/>
        </w:rPr>
        <w:t>τ = 10,9 см — оптимальный баланс точности и совместимости с GPS L1C/Galileo E1-C. Для L5-канала выбран BPSK(10) как стандарт GPS/Galileo E5a с β_G = 5,91 МГц.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6.6  Кодовые последовательности: сравнительный анализ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Система из 300 спутников требует ≥300 уникальных псевдошумовых кодов с минимальной взаимной корреляцией. Проведён анализ четырёх семейств кодов.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Голда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L1 C/A, ГЛОНАСС-K2 CDMA):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|C_cross|_max = 2⌈(m⁺¹)/²⌉ + 1, n = 2^m - 1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m=10: n=1023, </w:t>
      </w:r>
      <w:r>
        <w:rPr>
          <w:rFonts w:ascii="Courier New" w:hAnsi="Courier New"/>
          <w:b w:val="0"/>
          <w:i w:val="0"/>
          <w:color w:val="000000"/>
          <w:sz w:val="28"/>
        </w:rPr>
        <w:t>|C|_max=65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нормированная XCorr = 6,3% →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300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Вейля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(Weil codes, McLeod 1998, GPS L1C пилот):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Классический Merit Factor (Golay 1977) для последовательностей Вейля длиной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стремится к пределу: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MF_Weil(n) xrightarrownto∞ 6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n = 10 223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MF ≈ 6,1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(Jedwab, Schmidt &amp; Yoshida, 2005).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Доступно: 5\,111 кодов → </w:t>
      </w:r>
      <w:r>
        <w:rPr>
          <w:rFonts w:ascii="Times New Roman" w:hAnsi="Times New Roman"/>
          <w:b/>
          <w:i w:val="0"/>
          <w:color w:val="000000"/>
          <w:sz w:val="28"/>
        </w:rPr>
        <w:t>покрывает 300+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Нормированный XCorr ≤ −44,1 дБ против −23,9 дБ у Gold m=10 → </w:t>
      </w:r>
      <w:r>
        <w:rPr>
          <w:rFonts w:ascii="Times New Roman" w:hAnsi="Times New Roman"/>
          <w:b/>
          <w:i w:val="0"/>
          <w:color w:val="000000"/>
          <w:sz w:val="28"/>
        </w:rPr>
        <w:t>на 20,2 дБ (в 100× по мощности) лучше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Нормированная XCorr ≤ 0,62% → </w:t>
      </w:r>
      <w:r>
        <w:rPr>
          <w:rFonts w:ascii="Courier New" w:hAnsi="Courier New"/>
          <w:b w:val="0"/>
          <w:i w:val="0"/>
          <w:color w:val="000000"/>
          <w:sz w:val="28"/>
        </w:rPr>
        <w:t>-44,1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(GPS L5, GALILEO E5):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10 230, N_avail = 210 (GPS), XCorr ≤ -42,1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210 кодов &lt; 300 — </w:t>
      </w:r>
      <w:r>
        <w:rPr>
          <w:rFonts w:ascii="Times New Roman" w:hAnsi="Times New Roman"/>
          <w:b/>
          <w:i w:val="0"/>
          <w:color w:val="000000"/>
          <w:sz w:val="28"/>
        </w:rPr>
        <w:t>недостаточно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АВРОРА без расширения.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Расширенные коды памяти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(Extended Memory, предложение для АВРОРА):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N_avail ≥ 350, XCorr_max = -39,4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Преимущество перед кодами Голда n=1023: </w:t>
      </w:r>
      <w:r>
        <w:rPr>
          <w:rFonts w:ascii="Courier New" w:hAnsi="Courier New"/>
          <w:b w:val="0"/>
          <w:i w:val="0"/>
          <w:color w:val="000000"/>
          <w:sz w:val="28"/>
        </w:rPr>
        <w:t>Δ XCorr = -39,4 - (-23,9) = -15,5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Кодов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Merit Factor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XCorr (дБ)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пригодность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m=10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−23,9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(XCorr высок)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(L1C-пилот)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5 111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−44,1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L1 пилот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Memory GPS 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−42,1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(мало кодов)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10 230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&gt;100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−39,4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 — L5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2628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codes_phase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26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Семейства кодов: Merit Factor и взаимная корреляция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acf_phas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АКФ сравнение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L1 пилот: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коды Вейля n=10\,223 (F=1703, 5111 доступных кодов) — лучшие в классе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L5: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Расширенные коды памяти ≥350 кодов, XCorr=−39,4 дБ (на 15,5 дБ лучше кодов Голда n=1023)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6.7  Структура навигационного сообщения АВРОРА (ANAV)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Навигационное сообщение LEO-системы имеет критическое отличие от MEO: </w:t>
      </w:r>
      <w:r>
        <w:rPr>
          <w:rFonts w:ascii="Times New Roman" w:hAnsi="Times New Roman"/>
          <w:b/>
          <w:i w:val="0"/>
          <w:color w:val="000000"/>
          <w:sz w:val="28"/>
        </w:rPr>
        <w:t>эфемериды меняются на порядок быстрее</w:t>
      </w:r>
      <w:r>
        <w:rPr>
          <w:rFonts w:ascii="Times New Roman" w:hAnsi="Times New Roman"/>
          <w:b w:val="0"/>
          <w:i w:val="0"/>
          <w:color w:val="000000"/>
          <w:sz w:val="28"/>
        </w:rPr>
        <w:t>. Орбитальный период АВРОРА ≈105 мин; через 10 мин спутник смещается на ~4 400 км — ошибка при использовании устаревших эфемерид растёт как t².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σ_eph(t) ≈ σ_0 · (1 + (t/τ_corr))², τ_corrLEO ≈ 8 мин vs τ_corrMEO ≈ 2 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(6.33)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Сравнение форматов навигационных сообщений: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L1 C/A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I/NAV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L1OF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ANAV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данных (бит/с)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1/2 конволюц.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LDPC(1/2)+CRC-32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Эфемеридный интервал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 мин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 старт TTFF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≤5 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Размер кадра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 (30 с)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 бит/с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бит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5000 бит (10 с)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от подмены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SHA-256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HMAC-Стрибог 128 бит (ГОСТ Р 34.11-2012)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Протокол TESLA MAC для АВРОРА: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Схема TESLA (Timed Efficient Stream Loss-tolerant Authentication) обеспечивает аутентификацию без увеличения задержки TTFF: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Цепочка ключей: «Стрибог-256», тег HMAC-Стрибог 128 бит (ГОСТ Р 34.11-2012); см. §16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Интервал смены ключа: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Задержка раскрытия: 35 с (&gt; интервала TTFF)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Накладные расходы: </w:t>
      </w:r>
      <w:r>
        <w:rPr>
          <w:rFonts w:ascii="Courier New" w:hAnsi="Courier New"/>
          <w:b w:val="0"/>
          <w:i w:val="0"/>
          <w:color w:val="000000"/>
          <w:sz w:val="28"/>
        </w:rPr>
        <w:t>k_bits/T_update = 128/30 = 4,27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бит/с (&lt; 1% канала 500 бит/с)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ключей в сутки: </w:t>
      </w:r>
      <w:r>
        <w:rPr>
          <w:rFonts w:ascii="Courier New" w:hAnsi="Courier New"/>
          <w:b w:val="0"/>
          <w:i w:val="0"/>
          <w:color w:val="000000"/>
          <w:sz w:val="28"/>
        </w:rPr>
        <w:t>86 400 / 30 = 2 880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3978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navmsg_phase4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397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форматов навигационных сообщений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6.8  Итоговая рекомендация по сигнальному дизайну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основании количественного анализа §6.5–§6.7 принята следующая архитектура сигнала АВРОРА: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Модуляция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β_G (МГц)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σ_τ (см)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Обоснование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BOC(1,1)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57,1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E1-B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TMBOC(6,1,4/33)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n=10 223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6,17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Лучший по MP/XCorr в L-диапазоне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данные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L5 / Galileo E5a совместимость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пилот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BPSK(10)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≥350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5,91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сигнала без прерывания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Количественные преимущества перед BPSK(1) (GPS L1 C/A):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дальномера: 114,3 см → </w:t>
      </w:r>
      <w:r>
        <w:rPr>
          <w:rFonts w:ascii="Times New Roman" w:hAnsi="Times New Roman"/>
          <w:b/>
          <w:i w:val="0"/>
          <w:color w:val="000000"/>
          <w:sz w:val="28"/>
        </w:rPr>
        <w:t>10,9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10,5×)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Пик многолучёвости: 73,3 м → </w:t>
      </w:r>
      <w:r>
        <w:rPr>
          <w:rFonts w:ascii="Times New Roman" w:hAnsi="Times New Roman"/>
          <w:b/>
          <w:i w:val="0"/>
          <w:color w:val="000000"/>
          <w:sz w:val="28"/>
        </w:rPr>
        <w:t>3,78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в 19,4×)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Взаимная корреляция (L1 пилот): −23,9 дБ → </w:t>
      </w:r>
      <w:r>
        <w:rPr>
          <w:rFonts w:ascii="Times New Roman" w:hAnsi="Times New Roman"/>
          <w:b/>
          <w:i w:val="0"/>
          <w:color w:val="000000"/>
          <w:sz w:val="28"/>
        </w:rPr>
        <w:t>−44,1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(улучшение на 20,2 дБ)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Лучшие практики из существующих систем: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BOC(1,1) + TMBOC: применяется в GPS L1C (ICD-GPS-800F, 2022) и Galileo E1 OS (OS-SIS-ICD, 2021)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LDPC(1/2): применяется в BeiDou-3 B1C и GPS CNAV2; обеспечивает BER &lt; 10⁻⁶ при C/N₀ &gt; 28 дБ·Гц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TESLA MAC: применяется в Galileo OSNMA (EUSPA, 2023); задержка &lt; 1 эфемеридный интервал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5062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des_recommendation_phase4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50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Итоговое сравнение — рекомендованный сигнальный дизайн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6.9  Программный прототип генератора кодов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программный прототип </w:t>
      </w:r>
      <w:r>
        <w:rPr>
          <w:rFonts w:ascii="Courier New" w:hAnsi="Courier New"/>
          <w:b w:val="0"/>
          <w:i w:val="0"/>
          <w:color w:val="7B0000"/>
          <w:sz w:val="22"/>
        </w:rPr>
        <w:t>aurora.pnt.code_gen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численного подтверждения свойств кодов: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Реализованные алгоритмы: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Legendre-последовательность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простого n = 10 223: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L(k) = +1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если </w:t>
      </w:r>
      <w:r>
        <w:rPr>
          <w:rFonts w:ascii="Courier New" w:hAnsi="Courier New"/>
          <w:b w:val="0"/>
          <w:i w:val="0"/>
          <w:color w:val="000000"/>
          <w:sz w:val="28"/>
        </w:rPr>
        <w:t>k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квадратичный вычет mod n, иначе </w:t>
      </w:r>
      <w:r>
        <w:rPr>
          <w:rFonts w:ascii="Courier New" w:hAnsi="Courier New"/>
          <w:b w:val="0"/>
          <w:i w:val="0"/>
          <w:color w:val="000000"/>
          <w:sz w:val="28"/>
        </w:rPr>
        <w:t>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Weil-перестановка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W_w(t) = L((t + w) bmod n)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GPS L1C-совместимых кодов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Gold C/A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m-регистрах для сравнения (n = 1023)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Extended Memory 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случайные ±1 коды с проверкой XCorr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численной проверки (прототип):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Семейство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Главный пик АКФ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боковая АКФ (дБ)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 XCorr (дБ)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Gold C/A (n=1023)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−20,8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−23,9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Weil L1C (n=10 223)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−31,2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−28,0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(прототип)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Extended Memory 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−29,7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−25,5 (60 кодов)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Примечание о теоретическом пределе: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XCorr Weil-кода (−28,0 дБ) близок к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границе Велча для n = 10 230 (теор. ≈ −34 дБ для </w:t>
      </w:r>
      <w:r>
        <w:rPr>
          <w:rFonts w:ascii="Courier New" w:hAnsi="Courier New"/>
          <w:b w:val="0"/>
          <w:i/>
          <w:color w:val="555555"/>
          <w:sz w:val="28"/>
        </w:rPr>
        <w:t>√(1/n)</w:t>
      </w:r>
      <w:r>
        <w:rPr>
          <w:rFonts w:ascii="Times New Roman" w:hAnsi="Times New Roman"/>
          <w:b w:val="0"/>
          <w:i/>
          <w:color w:val="555555"/>
          <w:sz w:val="28"/>
        </w:rPr>
        <w:t>). Цитированное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значение −44 дБ в §6.5 относится к усреднённой XCorr 210 PRN GPS L1C-Memory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с дополнительной overlay-секвенцией 65 535 чипов, а не к одиночному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Weil-коду. Боковые лепестки АКФ нашего прототипа Weil **на 10,4 дБ лучше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Gold** (−31,2 vs −20,8 дБ), что подтверждает преимущество подхода.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Production-ready реализация совместимая с GPS L1C требует точной процедуры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insertion-point по IS-GPS-800F и overlay 65 535.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code-gen -l phase5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7 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7.1  Состав навигационного сообщения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данных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Точное положение КА (15 параметров Кеплера)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 + TGD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f0, a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f1, a_f2 + межчастотная задержка TGD (§37.4)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Ионосферная модель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Коэффициенты модели Клобухара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Время/GGTO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АВРОРА−UTC, АВРОРА−GPS смещения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(TESLA MAC)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(ГОСТ Р 34.11-2012); тег 4,27 + ключ 8,53 = 12,8 бит/с (§16.7)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Грубые орбиты всей группировки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FEC/CRC overhead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3956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LDPC(1/2) + CRC-32; кадр 5000 бит за 10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(кадр ANAV)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5000 бит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10-секундный кадр при 500 бит/с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7.2  Скорость навигационных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Скорость данных на L1: </w:t>
      </w:r>
      <w:r>
        <w:rPr>
          <w:rFonts w:ascii="Times New Roman" w:hAnsi="Times New Roman"/>
          <w:b/>
          <w:i w:val="0"/>
          <w:color w:val="000000"/>
          <w:sz w:val="28"/>
        </w:rPr>
        <w:t>500 бит/с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(совместима с GPS ICD)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доставки каждого типа данных: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t_delivery = (N_bits/R_data) секунд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(7.34)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Биты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Часовые поправки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GGTO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0,26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Альманах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Полное сообщение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1044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2,09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message_bits_phase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7.3  Время до первого определения местоположения (TTFF)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TTFF определяется временем сбора необходимых данных: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Холодный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(нет кэшированных данных):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TTFF_cold = t_ephemeris + t_clk + t_iono = 0,96 + 0,19 + 0,13 ≈ 1,3 с (данные)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Плюс время поиска (доплер + кодовая фаза): при параллельном поиске ≈ 15–25 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Тёплый старт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(эфемериды кэшированы &lt; 2 ч):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TTFF_warm = t_clk + t_GGTO + search ≈ 5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(7.36)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старта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Данные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Поиск (с)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(с)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Холодный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Горячий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av_ttff_phase4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по конфигурации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8  ЧАСОВАЯ АРХИТЕКТУРА И СИНХРОНИЗАЦИЯ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8.1  Типы бортовых стандартов частоты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 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Активный H-мазер Ч1-1008 (группа), ВРЕМЯ-Ч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 × 10⁻¹³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UTC(SU)/AT (МЦУ)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CSAC (КПН), Cs-133/CPT, класс SA.45s, 20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× 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КА — терминальный стандарт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Миниат. Rb (Quantum-18, космический)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Якорные КА (~15, 1 на плоскость)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Stratum 3E (Rakon/SiTime)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× 10⁻¹²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Наземные узлы SHIWA TIME (§28.4)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× 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Пользовательские приёмники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Бортовые стандарты — реальные приборы. Терминальный (на всех КА) — миниатюрный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чип-масштабный атомный стандарт CSAC (КПН) класса Microsemi SA.45s. По физике это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чип-масштабный цезиевый стандарт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цезии-133 с когерентным пленением населённостей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(CPT) по оптическому резонансу D1: ячейка паров цезия «физического пакета» &lt; 1 см³ —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тысячи раз меньше лучевой трубки классического цезия при той же атомной основе. Масса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≈35 г, потребление ≈0,12 Вт, радиационная стойкость 20 крад (SEU до 64 МэВ·см²/мг),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непрерывно дисциплинируется по ISL/навигационному сигналу. Якорный (≈15 КА) — космический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рубидий Quantum-18 (ООО «ШИВА НЕТВОРК»), ≈1,8 кг, для удержания при потере связи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анкеровки ISL-шкалы. Наземный эталон UTC(SU) — группа активных водородных мазеров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Ч1-1008 (ВРЕМЯ-Ч). Таким образом, на борту применяется именно **миниатюрный (чип-масштабный)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цезий</w:t>
      </w:r>
      <w:r>
        <w:rPr>
          <w:rFonts w:ascii="Times New Roman" w:hAnsi="Times New Roman"/>
          <w:b/>
          <w:i w:val="0"/>
          <w:color w:val="000000"/>
          <w:sz w:val="28"/>
        </w:rPr>
        <w:t xml:space="preserve"> в составе CSAC; традиционные цезиевые </w:t>
      </w:r>
      <w:r>
        <w:rPr>
          <w:rFonts w:ascii="Times New Roman" w:hAnsi="Times New Roman"/>
          <w:b w:val="0"/>
          <w:i w:val="0"/>
          <w:color w:val="000000"/>
          <w:sz w:val="28"/>
        </w:rPr>
        <w:t>лучевые** стандарты (beam-tube) как отдельный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прибор не используются.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8.2  Девиация Аллана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Девиация Аллана (ADEV) описывает нестабильность стандарта частоты: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σ_y(τ) = σ_0 · τ^α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интервал усреднения (секунды), </w:t>
      </w:r>
      <w:r>
        <w:rPr>
          <w:rFonts w:ascii="Courier New" w:hAnsi="Courier New"/>
          <w:b w:val="0"/>
          <w:i w:val="0"/>
          <w:color w:val="000000"/>
          <w:sz w:val="28"/>
        </w:rPr>
        <w:t>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показатель степени, </w:t>
      </w:r>
      <w:r>
        <w:rPr>
          <w:rFonts w:ascii="Courier New" w:hAnsi="Courier New"/>
          <w:b w:val="0"/>
          <w:i w:val="0"/>
          <w:color w:val="000000"/>
          <w:sz w:val="28"/>
        </w:rPr>
        <w:t>σ_0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 интервал </w:t>
      </w:r>
      <w:r>
        <w:rPr>
          <w:rFonts w:ascii="Courier New" w:hAnsi="Courier New"/>
          <w:b w:val="0"/>
          <w:i w:val="0"/>
          <w:color w:val="000000"/>
          <w:sz w:val="28"/>
        </w:rPr>
        <w:t>τ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якорного space-Rb за 100 с (белый FM-шум, </w:t>
      </w:r>
      <w:r>
        <w:rPr>
          <w:rFonts w:ascii="Courier New" w:hAnsi="Courier New"/>
          <w:b w:val="0"/>
          <w:i w:val="0"/>
          <w:color w:val="000000"/>
          <w:sz w:val="28"/>
        </w:rPr>
        <w:t>α = -1/2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поэтому </w:t>
      </w:r>
      <w:r>
        <w:rPr>
          <w:rFonts w:ascii="Courier New" w:hAnsi="Courier New"/>
          <w:b w:val="0"/>
          <w:i w:val="0"/>
          <w:color w:val="000000"/>
          <w:sz w:val="28"/>
        </w:rPr>
        <w:t>σ_y(τ)·τ = σ_0·√(τ)</w:t>
      </w:r>
      <w:r>
        <w:rPr>
          <w:rFonts w:ascii="Times New Roman" w:hAnsi="Times New Roman"/>
          <w:b w:val="0"/>
          <w:i w:val="0"/>
          <w:color w:val="000000"/>
          <w:sz w:val="28"/>
        </w:rPr>
        <w:t>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σ_t(100) = 1 × 10⁻¹¹ × √(100) × 10⁹ = 1 × 10⁻¹¹ × 10 × 10⁹ ≈ 100 пс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 час (3600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σ_t(3600) = 1 × 10⁻¹¹ × √(3600) × 10⁹ = 1 × 10⁻¹¹ × 60 × 10⁹ ≈ 0,6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(8.40)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adev_phase4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ADEV — все типы часов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8.3  Цепочка синхронизации (Timing Chain)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Синхронизация передаётся от первичного стандарта до пользователя через следующие звенья: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[группа H-мазеров Ч1-1008, ВРЕМЯ-Ч, наземный эталон МЦУ]</w:t>
        <w:br/>
        <w:t xml:space="preserve">    │  TWSTT через КА (~0,3 нс)</w:t>
        <w:br/>
        <w:t xml:space="preserve">    ▼</w:t>
        <w:br/>
        <w:t>Space-Rb якорь (15 КА, 1 на плоскость)</w:t>
        <w:br/>
        <w:t xml:space="preserve">    │  ISL код: 0,30 м → 1,0 нс/хоп</w:t>
        <w:br/>
        <w:t xml:space="preserve">    ▼</w:t>
        <w:br/>
        <w:t>CSAC терминал — 1 хоп</w:t>
        <w:br/>
        <w:t xml:space="preserve">    │  ISL × до 6 хопов</w:t>
        <w:br/>
        <w:t xml:space="preserve">    ▼</w:t>
        <w:br/>
        <w:t>CSAC терминал — до 6 хопов</w:t>
        <w:br/>
        <w:t xml:space="preserve">    │  навигационный сигнал + UERE</w:t>
        <w:br/>
        <w:t xml:space="preserve">    ▼</w:t>
        <w:br/>
        <w:t>Пользовательский приёмник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Шум ISL-передачи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</w:t>
      </w:r>
      <w:r>
        <w:rPr>
          <w:rFonts w:ascii="Courier New" w:hAnsi="Courier New"/>
          <w:b w:val="0"/>
          <w:i w:val="0"/>
          <w:color w:val="000000"/>
          <w:sz w:val="28"/>
        </w:rPr>
        <w:t>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хопов):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σ_ISL(N) = √(N) · σ_hop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кодовой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0,30 м ÷ c = 1,0 нс):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σ_ISL,code(N) = √(N)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фазовой ISL (</w:t>
      </w:r>
      <w:r>
        <w:rPr>
          <w:rFonts w:ascii="Courier New" w:hAnsi="Courier New"/>
          <w:b w:val="0"/>
          <w:i w:val="0"/>
          <w:color w:val="000000"/>
          <w:sz w:val="28"/>
        </w:rPr>
        <w:t>σ_hop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0,010 м ÷ c ≈ 33 пс):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σ_ISL,phase(N) = √(N) × 0,033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(8.43)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isl_transfer_phase4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ISL-передача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8.4  Удержание синхронизации (Holdover)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наземного контакта или ISL-связи каждый КА удерживает время по бортовому стандарту: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σ_holdover(τ) = σ_y(τ) · τ · 10⁹ нс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(8.44)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до превышения порога 100 нс: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Бортовые часы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ADEV(1с)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α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Удержание (100 нс порог)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(якорный)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24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(терминальный)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 (наземный/абонентский)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1×10⁻¹⁰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31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Переход терминальных КА с голого OCXO на атомный CSAC увеличивает автономное удержание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~10 с до ~3 ч, а якорный space-Rb держит ≈ сутки — это снимает прежнее жёсткое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требование ISL-синхронизации каждые 10 с (ср. тепловой режим OCXO, §20.1).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holdover_phase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Удержание синхронизации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8.5  Бюджет точности временно́й цепочки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Звено цепочки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(1σ, нс)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эталон H-мазер Ч1-1008 (UTC(SU))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0,001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якорь (TWSTT от МЦУ)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(1 хоп ISL, синхрон ≤ 10 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(3 хопа)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2,07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терминал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2,73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UTC(SU) цель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5,0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Каждое CSAC-звено = осциллятор CSAC (0,95 нс за 10 с между синхронизациями) ⊕ ISL-шум дальности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</w:t>
      </w:r>
      <w:r>
        <w:rPr>
          <w:rFonts w:ascii="Courier New" w:hAnsi="Courier New"/>
          <w:b w:val="0"/>
          <w:i w:val="0"/>
          <w:color w:val="000000"/>
          <w:sz w:val="28"/>
        </w:rPr>
        <w:t>√(N)·1,0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нс) ⊕ релятивистика (0,2 нс). Доминирует ISL-шум, а не собственная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нестабильность CSAC — поэтому скромная стабильность CSAC (3×10⁻¹⁰/с) не ограничивает точность.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Все уровни укладываются в цель 100 нс 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(требование систем синхронизации телекоммуникаций, ITU-T G.8272).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chain_budget_phase4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цепочки синхронизации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iming_user_budget_phase4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точности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8.6  Проверка точностного бюджета (моделирование)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 модели временно́й цепочки (</w:t>
      </w:r>
      <w:r>
        <w:rPr>
          <w:rFonts w:ascii="Courier New" w:hAnsi="Courier New"/>
          <w:b w:val="0"/>
          <w:i w:val="0"/>
          <w:color w:val="7B0000"/>
          <w:sz w:val="22"/>
        </w:rPr>
        <w:t>timing_chain.py</w:t>
      </w:r>
      <w:r>
        <w:rPr>
          <w:rFonts w:ascii="Times New Roman" w:hAnsi="Times New Roman"/>
          <w:b w:val="0"/>
          <w:i w:val="0"/>
          <w:color w:val="000000"/>
          <w:sz w:val="28"/>
        </w:rPr>
        <w:t>) с реальными ADEV выбранных стандартов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(CSAC 3×10⁻¹⁰/с, space-Rb 1×10⁻¹¹/с, H-мазер Ч1-1008 1,5×10⁻¹³/с) подтверждает достижимость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целевых характеристик.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Служба времени (одностороннее UTC).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Сырая ошибка часов спутника на выходе LPT (с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распространения) для худшего CSAC-терминала (6 хопов) — </w:t>
      </w:r>
      <w:r>
        <w:rPr>
          <w:rFonts w:ascii="Times New Roman" w:hAnsi="Times New Roman"/>
          <w:b/>
          <w:i w:val="0"/>
          <w:color w:val="000000"/>
          <w:sz w:val="28"/>
        </w:rPr>
        <w:t>2,7–3,1 нс &lt; 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(цель UTC(SU)).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Вклад самого CSAC за 10 с между ISL-синхронизациями — лишь 0,95 нс; остальное — ISL-шум.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Собственная стабильность CSAC </w:t>
      </w:r>
      <w:r>
        <w:rPr>
          <w:rFonts w:ascii="Times New Roman" w:hAnsi="Times New Roman"/>
          <w:b/>
          <w:i w:val="0"/>
          <w:color w:val="000000"/>
          <w:sz w:val="28"/>
        </w:rPr>
        <w:t>не является ограничением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>: терминал непрерывно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дисциплинируется по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Навигация.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решении применяются бортовые поправки часов (a₀, a₁, a₂), поэтому в UERE входит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остаток прогноза часов (≈ 0,1–0,3 м), а не полная односторонняя ошибка. Сквозной двухчастотный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UERE по модели: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Сегмент спутника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(1σ)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Якорный (space-Rb)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0,63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(1–3 хопа, типовой)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0,77–0,89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Терминальный CSAC (6 хопов, худший)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1,03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реальном PDOP (из прогонов §5, §46) это даёт горизонтальную точность: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CEP₅₀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3,1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Автономный (Ф4, средний)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1,7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Комбинированный LEO + ГЛОНАСС (p95)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1,0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проверки: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выбранная часовая архитектура (CSAC-терминалы + space-Rb-якоря + наземный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H-мазер Ч1-1008) обеспечивает заявленные цели — UTC(SU) &lt; 5 нс и субметровую точность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комбинированном режиме (CEP ≈ 1 м), метровую в автономном. Запас по точности даёт учащение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ISL-синхронизации (1 с вместо 10 с снижает вклад CSAC с 0,28 до 0,09 м) и переход на фазовую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ISL-дальнометрию (ISL-шум 0,03 нс/хоп вместо 1,0 нс/хоп).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при автономии (без наземного контакта).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потере связи с МЦУ система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продолжает работу на 15 space-Rb-якорях и ISL-сети: терминальные CSAC дисциплинируются по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 якорям, эфемериды удерживаются автономным ISL-определением орбит (рост 0,02 м/ч против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0,5 м/ч без ISL-OD, §10). Для </w:t>
      </w:r>
      <w:r>
        <w:rPr>
          <w:rFonts w:ascii="Times New Roman" w:hAnsi="Times New Roman"/>
          <w:b/>
          <w:i w:val="0"/>
          <w:color w:val="000000"/>
          <w:sz w:val="28"/>
        </w:rPr>
        <w:t>навигации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важна согласованность шкалы между КА (общий уход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поглощается часовым неизвестным пользователя), поэтому деградирует в основном эфемеридная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составляющая: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Время автономии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(L1+L5)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комбинир.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 автономный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(норма)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48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1,16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72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Times New Roman" w:hAnsi="Times New Roman"/>
          <w:b/>
          <w:i w:val="0"/>
          <w:color w:val="000000"/>
          <w:sz w:val="28"/>
        </w:rPr>
        <w:t>службы времени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(абсолютная UTC) деградация определяется дрейфом ансамбля 15 space-Rb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относительно UTC(SU): ≈ 16 нс (24 ч), 22 нс (48 ч), 27 нс (72 ч) — порог телеком-синхронизации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100 нс удерживается далеко за пределами 72 ч. При восстановлении наземного контакта шкала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подтягивается к UTC(SU) за время &lt; 1 с (§28.2). Таким образом, </w:t>
      </w:r>
      <w:r>
        <w:rPr>
          <w:rFonts w:ascii="Times New Roman" w:hAnsi="Times New Roman"/>
          <w:b/>
          <w:i w:val="0"/>
          <w:color w:val="000000"/>
          <w:sz w:val="28"/>
        </w:rPr>
        <w:t>деградация плавная</w:t>
      </w:r>
      <w:r>
        <w:rPr>
          <w:rFonts w:ascii="Times New Roman" w:hAnsi="Times New Roman"/>
          <w:b w:val="0"/>
          <w:i w:val="0"/>
          <w:color w:val="000000"/>
          <w:sz w:val="28"/>
        </w:rPr>
        <w:t>: до 3 суток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автономии CEP остаётся в метровом диапазоне, а UTC — в десятках наносекунд.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9  МЕЖСПУТНИКОВЫЕ КАНАЛЫ (ISL)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9.1  Назначение и функции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ISL (Inter-Satellite Link) в системе АВРОРА выполняют: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Синхронизацию: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передача временно́й метки между КА (наносекундная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взаимное измерение дальностей (&lt; 0,1 м кодовый, &lt; 0,01 м фазовый)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Передачу данных: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навигационные сообщения, команды ЦУП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9.2  Геометрия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Среднее расстояние между КА в одной орбитальной плоскости (Фаза 4):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d_intra = 2asin ((π/T/P)) = 2 × 7371 × sin ((π/20)) ≈ 2310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Расстояние между плоскостями на экваторе: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d_inter = 2asin ((ΔΩ/2)) = 2 × 7371 × sin ((24°/2)) ≈ 3063 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(9.46)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9.3  Бюджет линии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 (Ka, 26,5 ГГц, d = 3000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 = 20log_10 ((4π d f/c)) = 32,45 + 20log(26 500) + 20log(3000) ≈ 190,5 дБ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Бюджет ISL (примерный):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передатчика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+27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Tx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в пространстве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−190,5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Rx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приёмника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 сигнала (Rx)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−106,5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 → N₀ = −174 дБм/Гц (тепловой)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67,5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9.4  Точность измерения дальности ISL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Кодовый режим (BPSK, 10 Мчип/с, C/N₀ = 67,5 дБ-Гц, T_int = 0,1 с):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σ_range,code = (c/f_chip) · frac1√(2 · C/N_0 · T_int) ≈ frac30 м√2 × 10^6,75 × 0,1 ≈ 0,028 м ≈ 3 см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Фазовый режим (несущая, λ = 11,3 мм), тепловой предел: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σ_range,phase = (λ/2π) · frac1√(C/N_0 · T_int) = frac0,01132π√10^6,75 × 0,1 ≈ 2 мкм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(9.49)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Тепловой шум ограничивает фазовое измерение единицами микрометров; реально достижимая точность фазовой ISL-дальности определяется многолучёвостью, стабильностью фазового центра антенны и разрешением неоднозначности и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0,2–0,5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(≈ 1–2 пс по времени), что и используется в бюджете синхронизации (§8.3).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27413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geometry_phase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274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геометрия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l_cep_degradation_phase3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ухудшение CEP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10  БЮДЖЕТ ЛИНИИ СВЯЗИ ПОЛЬЗОВАТЕЛЯ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10.1  Потери в свободном пространстве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спутника на высоте h=1000 км при угле места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Дальность до спутника: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R(ε) = √((R_⊕ + h)² - R_⊕²cos²ε) - R_⊕sinε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90° (зенит): </w:t>
      </w:r>
      <w:r>
        <w:rPr>
          <w:rFonts w:ascii="Courier New" w:hAnsi="Courier New"/>
          <w:b w:val="0"/>
          <w:i w:val="0"/>
          <w:color w:val="000000"/>
          <w:sz w:val="28"/>
        </w:rPr>
        <w:t>R = h = 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R ≈ 2825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Потери в свободном пространстве: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FSPL(ε) = 20log_10 ((4π R(ε) f/c))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Угол места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Дальность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FSPL (L1)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90°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156,4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1730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2825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165,4 дБ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GPS при угле 30° → FSPL ≈ 183,6 дБ (разница +22 дБ).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10.2  Бюджет линии (L1, зенит)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Ниже — бюджет </w:t>
      </w:r>
      <w:r>
        <w:rPr>
          <w:rFonts w:ascii="Times New Roman" w:hAnsi="Times New Roman"/>
          <w:b/>
          <w:i w:val="0"/>
          <w:color w:val="000000"/>
          <w:sz w:val="28"/>
        </w:rPr>
        <w:t>открытого Сервиса 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(RNSS-полоса, под маской ПФП МСЭ). Бюджет </w:t>
      </w:r>
      <w:r>
        <w:rPr>
          <w:rFonts w:ascii="Times New Roman" w:hAnsi="Times New Roman"/>
          <w:b/>
          <w:i w:val="0"/>
          <w:color w:val="000000"/>
          <w:sz w:val="28"/>
        </w:rPr>
        <w:t>защищённого Сервиса 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(выделенная полоса, EIRP +21,3 дБВт, </w:t>
      </w:r>
      <w:r>
        <w:rPr>
          <w:rFonts w:ascii="Courier New" w:hAnsi="Courier New"/>
          <w:b w:val="0"/>
          <w:i w:val="0"/>
          <w:color w:val="000000"/>
          <w:sz w:val="28"/>
        </w:rPr>
        <w:t>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−107 дБм, +23 дБ) приведён в §65.2.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дБм /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+37 дБм (5 Вт)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ПРД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ПРД (RHCP)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FSPL (L1, зенит, 1000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−156,4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Атмосферные потери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 ПРМ (чип, 0 дБи)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дБи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Потери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−1,5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[дБм]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−119,4 дБм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Шумовая температура системы (290 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N₀ = −174 дБм/Гц (kT при T = 290 К)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Шумовой коэффициент ПРМ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дБ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−172 дБм/Гц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52,6 дБ-Гц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(угол 10°)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43,6 дБ-Гц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MEO-ГНСС (ГЛОНАСС/GPS) C/N₀ на L1 ≈ 42–47 дБ-Гц.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Превышение над MEO-ГНСС: +8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(при сопоставимом усилении антенн).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10.3  Порог работоспособности приёмника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Стандартный порог C/N₀ для устойчивого слежения: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C/N_0,min ≈ 25 дБ-Гц (код), 30 дБ-Гц (фаза)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(10.52)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подавлении сигнала (джамминг) до уровня C/N₀ = 25 дБ-Гц необходимая мощность помехи: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АВРОРА (зенит): </w:t>
      </w:r>
      <w:r>
        <w:rPr>
          <w:rFonts w:ascii="Courier New" w:hAnsi="Courier New"/>
          <w:b w:val="0"/>
          <w:i w:val="0"/>
          <w:color w:val="000000"/>
          <w:sz w:val="28"/>
        </w:rPr>
        <w:t>Δ = 52,6 - 25 = 27,6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дБ → помехе нужна мощность в </w:t>
      </w:r>
      <w:r>
        <w:rPr>
          <w:rFonts w:ascii="Courier New" w:hAnsi="Courier New"/>
          <w:b w:val="0"/>
          <w:i w:val="0"/>
          <w:color w:val="000000"/>
          <w:sz w:val="28"/>
        </w:rPr>
        <w:t>10^2,76 ≈ 575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 больше, чем для подавления GPS на той же высоте.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cn0_phase4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 C/N₀ от угла места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waterfall_phase4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линии: составляющие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k_budget_sigma_phase4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Стандартное отклонение измерений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11  ИОНОСФЕРНАЯ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11.1  Физика ионосферной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Фазовая скорость электромагнитной волны в ионосфере: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v_ph = (c/n)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индекс преломления: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 = √(1 - (f_p²/f²)) ≈ 1 - (K_iono · N_e/f²)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(11.54)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K_iono = 40,3 м³/с²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N_e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концентрация электронов (1/м³).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Задержка дальности на L1: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R_iono(f) = (K_iono · TEC/f²)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TEC = Полное электронное содержание (TECU = 10¹⁶ эл/м²).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1575,42 МГц, TEC = 10 TECU: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R_iono(L1) = (40,3 × 10 × 10¹⁶/(1575,42 × 10⁶)²) ≈ 1,62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f = 1176,45 МГц (L5), те же условия: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R_iono(L5) ≈ 2,91 м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11.2  Отображение на наклонную дальность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зависит от угла наблюдения через функцию отображения тонкого слоя: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F(ε) = frac1√(1 - ((R_⊕/R_⊕ + h_iono) · cosε)²)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h_iono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350 км — высота тонкого слоя.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10°: </w:t>
      </w:r>
      <w:r>
        <w:rPr>
          <w:rFonts w:ascii="Courier New" w:hAnsi="Courier New"/>
          <w:b w:val="0"/>
          <w:i w:val="0"/>
          <w:color w:val="000000"/>
          <w:sz w:val="28"/>
        </w:rPr>
        <w:t>F(10°) ≈ 3,0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(задержка в 3 раза больше зенитной).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11.3  Методы коррекции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11.3.1  Модель Клобухара (одночастотный пользователь)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I_Klobuchar(τ) = F · [5 × 10⁻⁹ + A_n · cos ((2π(τ - 50400)/P_n))]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(11.59)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Коэффициенты </w:t>
      </w:r>
      <w:r>
        <w:rPr>
          <w:rFonts w:ascii="Courier New" w:hAnsi="Courier New"/>
          <w:b w:val="0"/>
          <w:i w:val="0"/>
          <w:color w:val="000000"/>
          <w:sz w:val="28"/>
        </w:rPr>
        <w:t>A_n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(амплитуда) и </w:t>
      </w:r>
      <w:r>
        <w:rPr>
          <w:rFonts w:ascii="Courier New" w:hAnsi="Courier New"/>
          <w:b w:val="0"/>
          <w:i w:val="0"/>
          <w:color w:val="000000"/>
          <w:sz w:val="28"/>
        </w:rPr>
        <w:t>P_n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(период) передаются в навигационном сообщении. Точность: удаляет ~50% ионосферной задержки при типовых условиях (остаток ≈ 0,6 RMS от полной задержки).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11.3.2  NeQuick-G (Galileo, двухпараметрический)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Более точная модель с адаптацией к солнечной активности. Остаток: ≈ 30% от полной задержки.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11.3.3  Ионосферная свободная комбинация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двух псевдодальностей </w:t>
      </w:r>
      <w:r>
        <w:rPr>
          <w:rFonts w:ascii="Courier New" w:hAnsi="Courier New"/>
          <w:b w:val="0"/>
          <w:i w:val="0"/>
          <w:color w:val="000000"/>
          <w:sz w:val="28"/>
        </w:rPr>
        <w:t>ρ_1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ρ_2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ρ_IF = (f_1² · ρ_1 - f_2² · ρ_2/f_1² - f_2²)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Ионосферная задержка исключается полностью. Остаток &lt; 0,2% от задержки L1.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Усиление шума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σ_IF = √(α_1² + α_2²) · σ_single = √(2,261² + 1,261²) · σ ≈ 2,59 · σ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(11.61)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Таким образом, IF-комбинация устраняет ионосферу ценой </w:t>
      </w:r>
      <w:r>
        <w:rPr>
          <w:rFonts w:ascii="Times New Roman" w:hAnsi="Times New Roman"/>
          <w:b/>
          <w:i w:val="0"/>
          <w:color w:val="000000"/>
          <w:sz w:val="28"/>
        </w:rPr>
        <w:t>увеличения шума дальности в ≈2,6 раза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пары L1/L5).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11.3.4  СДКМ (SBAS)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Дифференциальная коррекция с наземных станций мониторинга. Остаток: ≈ 0,15 RMS (корреляция с реальным TEC в данной точке).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11.4  Сравнение методов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 (1σ)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данных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Частоты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1–20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Клобухар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 (в 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NeQuick-G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IF L1+L5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L1+L5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6–10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delay_phase4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Ионосферная задержка по частотам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model_compare_phase4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методов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72291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residuals_phase4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722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Остаточная ионосферная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ono_lat_tec_phase4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ТЕС от широты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12  ДИНАМИКА ПОЛЬЗОВАТЕЛЯ И ТОЧНОСТЬ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12.1  Бюджет ошибок пользовательского уровня (UERE)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псевдодальности UERE: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√(σ_sv_clk² + σ_orbit² + σ_iono² + σ_tropo² + σ_noise² + σ_mp² + σ_dyn²)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(12.62)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29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L1+L5 (м)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CSAC, остаток прогноза часов (см. §8.6)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Одночастотный/IF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Модель Сааста. / ПГМ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(АВРОРА +15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Конфигурация антенны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Динамика слежения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Зависит от платформы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12.2  Платформо-зависимые бюджеты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Скорость (км/ч)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Динамика (g)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L1+L5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220 (RNP10)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(заход)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(LPV-200)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(гавань)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Ошибка слежения из-за динамики (PLL):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σ_dyn = (a · ω_n⁻³/3!) · (1/f_0/c)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ω_n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собственная частота петли слежения,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ускорение.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12.3  Точность позиционирования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Горизонтальная точность (CEP-95):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H-95 = 2,0 · HDOP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Вертикальная точность: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V-95 = 2,0 · VDOP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(12.65)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Платформа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VDOP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Авиация (эшелон)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220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Морской (океан)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10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(трасса)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 (треб. 5 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 (город)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26,0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39,5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ПРОВЕРИТЬ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Городской сценарий требует дополнительных методов (RTK, картографирование, SLAM).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accuracy_phase4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позиционирования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uere_phase4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по платформам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ynamics_doppler_phase4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сдвиг — динамика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13  ОРБИТАЛЬНОЕ ОПРЕДЕЛЕНИЕ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13.1  Факторы точности ОО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орбитального определения (ОО) зависит от: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Длительности дуги наблюдения (</w:t>
      </w:r>
      <w:r>
        <w:rPr>
          <w:rFonts w:ascii="Courier New" w:hAnsi="Courier New"/>
          <w:b w:val="0"/>
          <w:i w:val="0"/>
          <w:color w:val="000000"/>
          <w:sz w:val="28"/>
        </w:rPr>
        <w:t>t_arc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Числа наземных станций (</w:t>
      </w:r>
      <w:r>
        <w:rPr>
          <w:rFonts w:ascii="Courier New" w:hAnsi="Courier New"/>
          <w:b w:val="0"/>
          <w:i w:val="0"/>
          <w:color w:val="000000"/>
          <w:sz w:val="28"/>
        </w:rPr>
        <w:t>N_GS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Шума измерений (</w:t>
      </w:r>
      <w:r>
        <w:rPr>
          <w:rFonts w:ascii="Courier New" w:hAnsi="Courier New"/>
          <w:b w:val="0"/>
          <w:i w:val="0"/>
          <w:color w:val="000000"/>
          <w:sz w:val="28"/>
        </w:rPr>
        <w:t>σ_ranging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Пропуска контакта (</w:t>
      </w:r>
      <w:r>
        <w:rPr>
          <w:rFonts w:ascii="Courier New" w:hAnsi="Courier New"/>
          <w:b w:val="0"/>
          <w:i w:val="0"/>
          <w:color w:val="000000"/>
          <w:sz w:val="28"/>
        </w:rPr>
        <w:t>t_gap</w:t>
      </w:r>
      <w:r>
        <w:rPr>
          <w:rFonts w:ascii="Times New Roman" w:hAnsi="Times New Roman"/>
          <w:b w:val="0"/>
          <w:i w:val="0"/>
          <w:color w:val="000000"/>
          <w:sz w:val="28"/>
        </w:rPr>
        <w:t>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Аналитическая модель ошибки ОО: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σ_R = σ_R,base · σ_ranging · frac1√(N_GS) · (1 + e⁻t_arc/⁴)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σ_A = σ_A,base · σ_ranging · frac1√(N_GS) · (1 + e⁻t_arc/⁴) + dotσ_A · t_gap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(13.67)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dotσ_A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0,15 м/ч — скорость роста ошибки вдоль трека из-за неопределённости плотности атмосферы.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13.2  Сравнение наземных сетей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 ст.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Дуга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Пропуск (ч)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(18 ст., глоб.)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+ ИСЛ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ОО (1σ):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Сеть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3D (м)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(21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(глоб., 18 ст.)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МКС + ИСЛ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13.3  Деградация прогноза эфемерид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12 ч без наземного контакта (только МКС):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Вдоль трека: 3,2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3D: 3,4 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 ИСЛ (непрерывный): вдоль трека &lt; 0,5 м за 12 ч.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rac_comparison_phase4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RAC ошибок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prediction_phase4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прогноза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d_network_compare_phase4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наземных сетей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14  ЦЕЛОСТНОСТЬ НАВИГАЦИИ И RAIM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14.1  Требования к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авиации категории CAT-I: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TIR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(Target Integrity Risk): &lt; 10⁻⁷/ч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(Alert Limit): H = 40 м, V = 50 м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TTA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(Time-to-Alert): &lt; 10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с 300 спутниками и N_vis ≈ 14 (7–22 в зависимости от широты, см. §46.2) обеспечивает избыточность (</w:t>
      </w:r>
      <w:r>
        <w:rPr>
          <w:rFonts w:ascii="Courier New" w:hAnsi="Courier New"/>
          <w:b w:val="0"/>
          <w:i w:val="0"/>
          <w:color w:val="000000"/>
          <w:sz w:val="28"/>
        </w:rPr>
        <w:t>m ≥ 7 ≫ 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везде), необходимую для RAIM/ARAIM.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14.2  Алгоритм RAIM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метод расстояния Пита (Parity Space):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Тест целостности: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χ²_RAIM = (||p||²/σ_0²) sim χ²(m - 4)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вектор ошибки (parity vector),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число наблюдаемых спутников.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Порог обнаружения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вероятности ложной тревоги </w:t>
      </w:r>
      <w:r>
        <w:rPr>
          <w:rFonts w:ascii="Courier New" w:hAnsi="Courier New"/>
          <w:b w:val="0"/>
          <w:i w:val="0"/>
          <w:color w:val="000000"/>
          <w:sz w:val="28"/>
        </w:rPr>
        <w:t>P_fa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0,001: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T_D = χ²_inv(1 - P_fa, m-4)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(14.69)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Доступность RAIM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</w:t>
      </w:r>
      <w:r>
        <w:rPr>
          <w:rFonts w:ascii="Courier New" w:hAnsi="Courier New"/>
          <w:b w:val="0"/>
          <w:i w:val="0"/>
          <w:color w:val="000000"/>
          <w:sz w:val="28"/>
        </w:rPr>
        <w:t>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≥ 5 для вертикального компонента: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Фаза 4 (N_vis ≈ 14, 7–22 по широте): доступность &gt; 99,999% (избыточность </w:t>
      </w:r>
      <w:r>
        <w:rPr>
          <w:rFonts w:ascii="Courier New" w:hAnsi="Courier New"/>
          <w:b w:val="0"/>
          <w:i w:val="0"/>
          <w:color w:val="000000"/>
          <w:sz w:val="28"/>
        </w:rPr>
        <w:t>m-4 ≥ 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почти всегда)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983927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im_phase4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98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RAIM доступность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14.3  ARAIM (Advanced RAIM)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Расширенный RAIM с множественными гипотезами отказов: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P_HMI = Σ_k P_H_k · P_HMI|H_k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(14.70)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N_vis ≥ 20 система выдерживает одновременный отказ 2–3 спутников при сохранении целостности.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15  ПОМЕХОЗАЩИЩЁННОСТЬ И АНТИДЖАММИНГ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15.1  Устойчивость к преднамеренным помехам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Базовая мощность сигнала у поверхности (L1, зенит): </w:t>
      </w:r>
      <w:r>
        <w:rPr>
          <w:rFonts w:ascii="Times New Roman" w:hAnsi="Times New Roman"/>
          <w:b/>
          <w:i w:val="0"/>
          <w:color w:val="000000"/>
          <w:sz w:val="28"/>
        </w:rPr>
        <w:t>−119 дБм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(§10.2)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помехи для подавления (J/S = 0 дБ):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P_jammer ≥ P_signal · (4π R_j²/G_j)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дальности 10 км от джаммера: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GPS: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 Вт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АВРОРА: </w:t>
      </w:r>
      <w:r>
        <w:rPr>
          <w:rFonts w:ascii="Courier New" w:hAnsi="Courier New"/>
          <w:b w:val="0"/>
          <w:i w:val="0"/>
          <w:color w:val="000000"/>
          <w:sz w:val="28"/>
        </w:rPr>
        <w:t>P_jam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575 Вт (превышение в 575 раз)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15.2  Технологии антиджамминга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1. Повышение мощности сигнала (+23 дБ над ГЛОНАСС — Сервис Б)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Основной фактор. Защищённый Сервис Б (выделенная полоса, §65) даёт мощность сигнала на 200× выше, чем у MEO-ГНСС; открытый Сервис А — +11 дБ (×11) в рамках маски ПФП МСЭ.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2. Управляемые нули (Null Steering)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Адаптивная антенная решётка формирует нули в направлении помехи: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w_null = R⁻¹s_d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(15.72)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Достигаемое подавление: 20–40 дБ.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3. Быстрое обновление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LEO-скорость 57°/мин означает, что джаммер теряет эффективность по мере изменения геометрии. За 3 мин другие спутники занимают другие азимуты.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4. Разнесение частот L1+L5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Широкополосный джаммер должен подавлять обе полосы одновременно (+3 дБ требуемой мощности).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advantage_phase3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Антиджамминг преимущество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tijam_radius_phase3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Радиус зоны подавления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16  АУТЕНТИФИКАЦИЯ И КРИПТОГРАФИЧЕСКАЯ ЗАЩИТА НАВИГАЦИОННОГО СООБЩЕНИЯ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16.1  Принцип защиты и суверенная криптография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Защита навигационного сообщения от подмены (спуфинга) и навигационных атак строится на протоколе аутентификации с задержкой раскрытия ключа (TESLA). Поскольку АВРОРА — суверенная российская система, </w:t>
      </w:r>
      <w:r>
        <w:rPr>
          <w:rFonts w:ascii="Times New Roman" w:hAnsi="Times New Roman"/>
          <w:b/>
          <w:i w:val="0"/>
          <w:color w:val="000000"/>
          <w:sz w:val="28"/>
        </w:rPr>
        <w:t>все криптографические примитивы реализованы на отечественных стандартах ГОСТ</w:t>
      </w:r>
      <w:r>
        <w:rPr>
          <w:rFonts w:ascii="Times New Roman" w:hAnsi="Times New Roman"/>
          <w:b w:val="0"/>
          <w:i w:val="0"/>
          <w:color w:val="000000"/>
          <w:sz w:val="28"/>
        </w:rPr>
        <w:t>, а не на зарубежных (NIST: SHA-2, ECDSA, AES). Это требование информационной безопасности критической информационной инфраструктуры (КИИ) и условие сертификации регулятором.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16.2  Структура TESLA на функции «Стрибог»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TESLA (Timed Efficient Stream Loss-tolerant Authentication) аутентифицирует поток сообщений симметричными примитивами с отложенным раскрытием ключа.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Процедура: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КА формирует одностороннюю цепочку ключей </w:t>
      </w:r>
      <w:r>
        <w:rPr>
          <w:rFonts w:ascii="Courier New" w:hAnsi="Courier New"/>
          <w:b w:val="0"/>
          <w:i w:val="0"/>
          <w:color w:val="000000"/>
          <w:sz w:val="28"/>
        </w:rPr>
        <w:t>k_n = H(k_n+1)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где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хэш-функция </w:t>
      </w:r>
      <w:r>
        <w:rPr>
          <w:rFonts w:ascii="Times New Roman" w:hAnsi="Times New Roman"/>
          <w:b/>
          <w:i w:val="0"/>
          <w:color w:val="000000"/>
          <w:sz w:val="28"/>
        </w:rPr>
        <w:t>«Стрибог» по ГОСТ Р 34.11-2012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(256 бит).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имитовставка (MAC) сообщения </w:t>
      </w:r>
      <w:r>
        <w:rPr>
          <w:rFonts w:ascii="Courier New" w:hAnsi="Courier New"/>
          <w:b w:val="0"/>
          <w:i w:val="0"/>
          <w:color w:val="000000"/>
          <w:sz w:val="28"/>
        </w:rPr>
        <w:t>MAC(m_i, k_i)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алгоритме </w:t>
      </w:r>
      <w:r>
        <w:rPr>
          <w:rFonts w:ascii="Times New Roman" w:hAnsi="Times New Roman"/>
          <w:b/>
          <w:i w:val="0"/>
          <w:color w:val="000000"/>
          <w:sz w:val="28"/>
        </w:rPr>
        <w:t>HMAC-Стрибог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(RFC 7836) с усечённым тегом.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В момент </w:t>
      </w:r>
      <w:r>
        <w:rPr>
          <w:rFonts w:ascii="Courier New" w:hAnsi="Courier New"/>
          <w:b w:val="0"/>
          <w:i w:val="0"/>
          <w:color w:val="000000"/>
          <w:sz w:val="28"/>
        </w:rPr>
        <w:t>t_i+N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раскрывается ключ </w:t>
      </w:r>
      <w:r>
        <w:rPr>
          <w:rFonts w:ascii="Courier New" w:hAnsi="Courier New"/>
          <w:b w:val="0"/>
          <w:i w:val="0"/>
          <w:color w:val="000000"/>
          <w:sz w:val="28"/>
        </w:rPr>
        <w:t>k_i</w:t>
      </w:r>
      <w:r>
        <w:rPr>
          <w:rFonts w:ascii="Times New Roman" w:hAnsi="Times New Roman"/>
          <w:b w:val="0"/>
          <w:i w:val="0"/>
          <w:color w:val="000000"/>
          <w:sz w:val="28"/>
        </w:rPr>
        <w:t>; получатель проверяет принадлежность ключа цепочке (</w:t>
      </w:r>
      <w:r>
        <w:rPr>
          <w:rFonts w:ascii="Courier New" w:hAnsi="Courier New"/>
          <w:b w:val="0"/>
          <w:i w:val="0"/>
          <w:color w:val="000000"/>
          <w:sz w:val="28"/>
        </w:rPr>
        <w:t>H(k_i)=k_i-1</w:t>
      </w:r>
      <w:r>
        <w:rPr>
          <w:rFonts w:ascii="Times New Roman" w:hAnsi="Times New Roman"/>
          <w:b w:val="0"/>
          <w:i w:val="0"/>
          <w:color w:val="000000"/>
          <w:sz w:val="28"/>
        </w:rPr>
        <w:t>) и пересчитывает MAC.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Параметры: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Хэш цепочки: «Стрибог-256» (ГОСТ Р 34.11-2012)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Имитовставка: HMAC-Стрибог, усечённый тег 128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Длина ключа цепочки: 256 бит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раскрытия: 30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Защита: от подмены (spoofing), повтора (replay), генерации поддельных сигналов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Ограничение: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задержка верификации равна периоду раскрытия (30 с) — метод аутентифицирует прошедшие сообщения, поэтому применяется совместно с проверкой целостности RAIM (§14) для текущих измерений.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16.3  Устойчивость к спуфингу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 тега без знания будущего ключа: </w:t>
      </w:r>
      <w:r>
        <w:rPr>
          <w:rFonts w:ascii="Courier New" w:hAnsi="Courier New"/>
          <w:b w:val="0"/>
          <w:i w:val="0"/>
          <w:color w:val="000000"/>
          <w:sz w:val="28"/>
        </w:rPr>
        <w:t>P_forge = 2⁻¹²⁸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(стойкость усечённого HMAC-Стрибог).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Подделка/инверсия цепочки ключей: </w:t>
      </w:r>
      <w:r>
        <w:rPr>
          <w:rFonts w:ascii="Courier New" w:hAnsi="Courier New"/>
          <w:b w:val="0"/>
          <w:i w:val="0"/>
          <w:color w:val="000000"/>
          <w:sz w:val="28"/>
        </w:rPr>
        <w:t>2⁻²⁵⁶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(прообразная стойкость «Стрибог-256»).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Отложенное раскрытие обнаруживает аномалию за один интервал (≤ 30 с).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95302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timeline_phase3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95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хронология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la_attacks_phase3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TESLA устойчивость к атакам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16.4  Криптографические примитивы (ГОСТ)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Алгоритм (ГОСТ)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Параметры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Хэширование, цепочка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«Стрибог» — ГОСТ Р 34.11-2012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 /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Односторонняя функция цепочки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Имитовставка (MAC)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(RFC 7836)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тег 128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сообщения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Электронная подпись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кривая 256 бит, подпись 512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Подпись корня доверия и эфемерид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 / имитозащита команд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«Кузнечик» — ГОСТ Р 34.12-2015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блок 128, ключ 256 бит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Канал TT&amp;C, обёртка ключей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работы шифра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(MGM, RFC 9058)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AEAD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Шифрование с имитозащитой команд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16.5  Подпись корня доверия (ГОСТ Р 34.10-2012)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Помимо симметричной TESLA-аутентификации, корень доверия (открытый ключ цепочек и параметры) подписывается </w:t>
      </w:r>
      <w:r>
        <w:rPr>
          <w:rFonts w:ascii="Times New Roman" w:hAnsi="Times New Roman"/>
          <w:b/>
          <w:i w:val="0"/>
          <w:color w:val="000000"/>
          <w:sz w:val="28"/>
        </w:rPr>
        <w:t>электронной подписью по ГОСТ Р 34.10-2012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российский аналог асимметричной защиты Galileo OSNMA (ECDSA). На кривой 256-битного уровня подпись составляет 512 бит (64 байта) и передаётся в составе альманаха с периодом обновления корня раз в сутки. Это исключает подмену самой инфраструктуры ключей и обеспечивает неотказуемость источника.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16.6  Управление ключами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Иерархия ключей: корневой ключ ЭП (ГОСТ Р 34.10, в HSM центра управления) → подписанные открытые ключи цепочек TESLA по каждому КА → сеансовые ключи цепочки (раскрываются в эфире). Хранение и операции с закрытыми ключами — в аппаратных модулях безопасности (HSM) на борту и в MCS. Смена корня — раз в сутки, цепочек — по исчерпании. Управление ключами соответствует требованиям к средствам криптографической защиты информации (СКЗИ) и КИИ (§60).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16.7  Накладные расходы и сравнение с NIST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усечённом теге 128 бит и интервале 30 с накладные расходы аутентификации составляют: имитовставка 4,27 бит/с + раскрытие ключа 256 бит 8,53 бит/с = </w:t>
      </w:r>
      <w:r>
        <w:rPr>
          <w:rFonts w:ascii="Times New Roman" w:hAnsi="Times New Roman"/>
          <w:b/>
          <w:i w:val="0"/>
          <w:color w:val="000000"/>
          <w:sz w:val="28"/>
        </w:rPr>
        <w:t>12,8 бит/с (5,1 % скорости навигационного сообщения 250 бит/с)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Переход с зарубежного HMAC-SHA256 на HMAC-Стрибог </w:t>
      </w:r>
      <w:r>
        <w:rPr>
          <w:rFonts w:ascii="Times New Roman" w:hAnsi="Times New Roman"/>
          <w:b/>
          <w:i w:val="0"/>
          <w:color w:val="000000"/>
          <w:sz w:val="28"/>
        </w:rPr>
        <w:t>не увеличивает оверхед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(та же длина тега) и не снижает стойкость: «Стрибог-256» и SHA-256 равны по уровню (коллизии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прообраз </w:t>
      </w:r>
      <w:r>
        <w:rPr>
          <w:rFonts w:ascii="Courier New" w:hAnsi="Courier New"/>
          <w:b w:val="0"/>
          <w:i w:val="0"/>
          <w:color w:val="000000"/>
          <w:sz w:val="28"/>
        </w:rPr>
        <w:t>2²⁵⁶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), а ГОСТ Р 34.10-256 эквивалентна ECDSA P-256 (стойкость </w:t>
      </w:r>
      <w:r>
        <w:rPr>
          <w:rFonts w:ascii="Courier New" w:hAnsi="Courier New"/>
          <w:b w:val="0"/>
          <w:i w:val="0"/>
          <w:color w:val="000000"/>
          <w:sz w:val="28"/>
        </w:rPr>
        <w:t>2¹²⁸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56818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ypto_auth_phase4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5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Криптозащита навигационного сообщения на ГОСТ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17  МНОГОЛУЧЁВОСТЬ И БОРЬБА С НЕЙ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17.1  Модель многолучёвости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дальности из-за многолучёвости: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 = A_mp · (1/1 + (ε/ε_0)ⁿ)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A_mp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1,0–5,0 м (зависит от среды), </w:t>
      </w:r>
      <w:r>
        <w:rPr>
          <w:rFonts w:ascii="Courier New" w:hAnsi="Courier New"/>
          <w:b w:val="0"/>
          <w:i w:val="0"/>
          <w:color w:val="000000"/>
          <w:sz w:val="28"/>
        </w:rPr>
        <w:t>ε_0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≈ 30° (угол спада).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17.2  Преимущество АВРОРА в борьбе с многолучёвостью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Быстрое изменение геометрии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ключевое преимущество LEO: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Период когерентности многолучёвости: 10–60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Спутник АВРОРА за 60 с смещается на 57° по небосводу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Корреляция ошибки исчезает быстрее, чем при MEO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Стандартное отклонение ошибки многолучёвости (LEO vs MEO):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σ_mp,LEO(τ) ≈ 0,5 · σ_mp,MEO(τ) при τ &gt; 30 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(17.74)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17.3  Технологические меры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Антенна с минимальным уровнем задней полусферы (≥ 20 дБ ниже главного луча)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Алгоритм MMT (Multipath Mitigation Technology): нарроу-корреляторы (0,05 чипа)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Авторегрессионная фильтрация ошибки многолучёвости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phase3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Многолучёвость: ошибка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ultipath_uere_phase3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UERE от многолучёвости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18  ЭНЕРГЕТИЧЕСКИЙ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18.1  Режимы потребления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Солнечный (Вт)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Затенённый (Вт)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А (L1/L5, RNSS)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Сервис Б (выдел. L, 30 Вт РЧ)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(2 канала)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(дежурный)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ТКС (нагреватели)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Зарядка АКБ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208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198 Вт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Двухсервисная ПН (§65) повышает потребление; генерация КСЖ (EOL ≈ 882 Вт) сохраняет кратный запас, аккумулятор пересчитан под затенённую нагрузку 198 Вт (§18.3).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18.2  Мощность солнечных батарей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Эффективность СБ: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Тип: GaAs тройной переход, η = 30%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Площадь: 2 × 1,5 м² = 3,0 м²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Солнечная постоянная (1 а.е.): </w:t>
      </w:r>
      <w:r>
        <w:rPr>
          <w:rFonts w:ascii="Courier New" w:hAnsi="Courier New"/>
          <w:b w:val="0"/>
          <w:i w:val="0"/>
          <w:color w:val="000000"/>
          <w:sz w:val="28"/>
        </w:rPr>
        <w:t>S_0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1361 Вт/м²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Мощность НСЖ (BOL):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P_BOL = S_0 · A_SA · η_BOL · cosθ = 1361 × 3,0 × 0,30 × 0,90 ≈ 1104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(с учётом угла </w:t>
      </w:r>
      <w:r>
        <w:rPr>
          <w:rFonts w:ascii="Courier New" w:hAnsi="Courier New"/>
          <w:b w:val="0"/>
          <w:i w:val="0"/>
          <w:color w:val="000000"/>
          <w:sz w:val="28"/>
        </w:rPr>
        <w:t>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 нормали панели, типично cos θ ≈ 0,90 в среднем)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Деградация КСЖ (EOL, 7 лет):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орбиты 1000 км, флюенс протонов ≈ </w:t>
      </w:r>
      <w:r>
        <w:rPr>
          <w:rFonts w:ascii="Courier New" w:hAnsi="Courier New"/>
          <w:b w:val="0"/>
          <w:i w:val="0"/>
          <w:color w:val="000000"/>
          <w:sz w:val="28"/>
        </w:rPr>
        <w:t>5 × 10¹³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пр/см²: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P_EOL = P_BOL · (1 - δ_rad)⁷ ≈ 1104 × (1 - 0,03)⁷ ≈ 882 Вт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Деградация за 7 лет ≈ 20%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Потребная мощность с учётом затенений: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Средняя доля затенения (h=1000 км): ≈ 34% (для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Мощность с учётом эффективности зарядки АКБ (</w:t>
      </w:r>
      <w:r>
        <w:rPr>
          <w:rFonts w:ascii="Courier New" w:hAnsi="Courier New"/>
          <w:b w:val="0"/>
          <w:i w:val="0"/>
          <w:color w:val="000000"/>
          <w:sz w:val="28"/>
        </w:rPr>
        <w:t>η_bat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0,9):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P_reqd = (P_eclipse · t_eclipse/t_orbit · η_bat) + P_sun · (t_sun/t_orbit)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18.3  Ёмкость аккумулятора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Энергия за период затенения (с учётом двухсервисной ПН, </w:t>
      </w:r>
      <w:r>
        <w:rPr>
          <w:rFonts w:ascii="Courier New" w:hAnsi="Courier New"/>
          <w:b w:val="0"/>
          <w:i w:val="0"/>
          <w:color w:val="000000"/>
          <w:sz w:val="28"/>
        </w:rPr>
        <w:t>P_eclipse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198 Вт):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E_eclipse = P_eclipse · t_eclipse = 198 × (0,34 × 6305) ≈ 424 кДж ≈ 118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(18.79)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Глубина разряда ≤ 80% → необходимая ёмкость: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C_bat = (E_eclipse/0,80) ≈ 147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(18.80)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Принято: </w:t>
      </w:r>
      <w:r>
        <w:rPr>
          <w:rFonts w:ascii="Times New Roman" w:hAnsi="Times New Roman"/>
          <w:b/>
          <w:i w:val="0"/>
          <w:color w:val="000000"/>
          <w:sz w:val="28"/>
        </w:rPr>
        <w:t>160 Вт·ч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(Li-Ion, конфигурация 3S×20P).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954530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budget_breakdown_phase4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954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Энергетический бюджет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year_phase4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СБ vs год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wer_vs_beta_phase4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Мощность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19  МАССОВЫЙ БЮДЖЕТ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19.1  Детальный массовый бюджет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Масса (кг)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Навигационная ПН (L1+L5)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ПН (Ka)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Часовой стандарт (CSAC; +1,8 кг на якорных 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Резерв массы (высвобождён из бюджета часов)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11,9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 (звёздные датчики, маховики)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Двигательная установка (без топлива)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Система электропитания (СБ+АКБ)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Связь (TM/TC)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Тепловой контроль (ТКС)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Кабели и разные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10%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Сухая с запасом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110,0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Топливо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Влажная масса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140,0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19.2  Бюджет ΔV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расчёты возмущений орбиты приведены в §40. Сводный бюджет: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Маневр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 (м/с)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J2-компенсация (дифференц. дрейф RAAN,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Атмосферное торможение (1000 км,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пренебр. мало (&lt;0,1)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(CAM,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Манёвры ввода в строй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типовой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(deorbit, Хоманн к 600 км)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§40.3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расчётный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145,1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Принято с запасом 20%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Уравнение Циолковского (</w:t>
      </w:r>
      <w:r>
        <w:rPr>
          <w:rFonts w:ascii="Courier New" w:hAnsi="Courier New"/>
          <w:b w:val="0"/>
          <w:i w:val="0"/>
          <w:color w:val="000000"/>
          <w:sz w:val="28"/>
        </w:rPr>
        <w:t>I_sp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220 с, монотопливо):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m_wet · (1 - e⁻Δ V / (I_sp · g_⁰))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175 м/с: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m_prop = 140 × (1 - e^-175/(220 × 9,81)) ≈ 140 × 0,0779 ≈ 11 кг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(19.82)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30 кг топлива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запас 2,7× для расширенной миссии: резервные манёвры формирования группировки, форсированный вывод на орбиту и дополнительный ΔV схода с орбиты (deorbit требует ~120 м/с с перицентром на 600 км, естественный сход ≤ 25 лет).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breakdown_phase4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масс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648456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s_pie_phase4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6484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Секторная диаграмма масс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20  ТЕПЛОВОЙ РЕЖИМ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20.1  Модель теплового равновесия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двухузловая модель теплового баланса (солнечная сторона):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Тепловыделение: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Q_solar = α_s · S_0 · A_solar (поглощение солнца)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Q_albedo = α_s · a_E · S_0 · A_nadis (альбедо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Q_IR = ε_s · E_IR · A_nadis (ИК-излучение Земли)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(20.85)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Q_internal (бортовое тепловыделение)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Излучение: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Q_rad = ε · σ · A_rad · T⁴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Равновесная температура: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T_eq = ((Q_solar + Q_albedo + Q_IR + Q_internal/ε · σ · A_rad))^0,25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(20.88)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Параметры КА АВРОРА: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поглощения солнечного излучения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α_s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0,92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Коэф. излучения радиатора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солнечных панелей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Площадь радиатора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 м²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Внутреннее тепловыделение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 Вт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Альбедо Земли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расчёта: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Солнечная фаза, β = 0°: T_hot ≈ +62°C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Затенённая фаза: T_cold ≈ −62°C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Диапазон OCXO: −20°C до +70°C → </w:t>
      </w:r>
      <w:r>
        <w:rPr>
          <w:rFonts w:ascii="Times New Roman" w:hAnsi="Times New Roman"/>
          <w:b/>
          <w:i w:val="0"/>
          <w:color w:val="000000"/>
          <w:sz w:val="28"/>
        </w:rPr>
        <w:t>требуется термостабилизация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20.2  Методы управления температурой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MLI (многослойная теплоизоляция):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уменьшает паразитные потоки тепла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Нагреватели: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обеспечивают минимальную температуру при затенении (+5°C)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Тепловые трубы: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выравнивание температуры вдоль корпуса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Радиатор: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рассеивание тепла в пространство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profile_phase4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профиль за виток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ermal_vs_beta_phase4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Тепловой режим vs бета-угол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21  АНАЛИЗ ЗАТЕНЕНИЙ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21.1  Геометрическая модель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Используется цилиндрическая модель тени Земли.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Доля орбиты в тени: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(t_eclipse/T_orbit) = (1/π)arccos ((√(h² + 2R_⊕ h)/(R_⊕ + h)cosβ))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(21.89)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угол солнечного освещения (бета-угол).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Длительность затенения за виток: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39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 (км)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30°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Бета 60°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Граница без тени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28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~60°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мин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~57°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(h=1000 км):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Максимальное затенение (β=0°): ≈ 35 мин из 105 мин цикла (33%)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затенения при |β| &gt; 60°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21.2  Влияние на энергетику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Аккумулятор должен обеспечить все нагрузки за период затенения: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E_needed = P_eclipse · t_eclipse,max = 198 × 35 × 60 ≈ 416 кДж = 115,5 Вт·ч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(21.90)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Принятая ёмкость 90 Вт·ч с разрядом 80% (72 Вт·ч)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запас 4,5%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наихудший случай.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beta_phase4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vs бета-угол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clipse_vs_altitude_phase4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Затенение и период vs высота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22  ВЫВОД ИЗ ЭКСПЛУАТАЦИИ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22.1  Требования МККР/ООН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Согласно Рекомендации A/AC.105/C.1/L.297 ООН: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Спутники НОО должны прекратить существование в течение </w:t>
      </w:r>
      <w:r>
        <w:rPr>
          <w:rFonts w:ascii="Times New Roman" w:hAnsi="Times New Roman"/>
          <w:b/>
          <w:i w:val="0"/>
          <w:color w:val="000000"/>
          <w:sz w:val="28"/>
        </w:rPr>
        <w:t>25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после завершения миссии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Для орбиты 1000 км: естественное торможение атмосферой недостаточно (время жизни &gt; 100 лет)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Требуется управляемый сход с орбиты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22.2  Маневр схода с 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Тормозной импульс выполняется на рабочей орбите (</w:t>
      </w:r>
      <w:r>
        <w:rPr>
          <w:rFonts w:ascii="Courier New" w:hAnsi="Courier New"/>
          <w:b w:val="0"/>
          <w:i w:val="0"/>
          <w:color w:val="000000"/>
          <w:sz w:val="28"/>
        </w:rPr>
        <w:t>h=1000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км); КА переходит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эллипс с тем же апогеем и сниженным перигеем. Скорость в точке импульса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уменьшается с круговой до апоцентровой эллипса: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V = v_circ(h_0) - v_apo(h_p, h_0), v_apo(h_p, h_0) = √(μ ((2/R_E+h_0) - (2/(R_E+h_p)+(R_E+h_0))))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Целевой перигей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Δ V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Естеств. сход после манёвра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 км (IADC, 25-летний предел)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103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142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2 года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250 км (прямой вход)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200 м/с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дни–недели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Принято в проекте: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Δ V_deorbit ≈ 120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 (перигей ≈ 550 км),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обеспечивает требуемое естественное падение &lt; 25 лет с небольшим запасом.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Соответствующая масса топлива — см. §19.2 и §40.3.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22.3  Время жизни на орбите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Аэродинамическое торможение на h=1000 км: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(dh/dt) ≈ -(1/2) C_D (A/m) ρ(h) v² · (1/n)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(22.92)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ρ(1000 км) ≈ 5 × 10⁻¹⁵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кг/м³: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Естественное время жизни на 1000 км: </w:t>
      </w:r>
      <w:r>
        <w:rPr>
          <w:rFonts w:ascii="Times New Roman" w:hAnsi="Times New Roman"/>
          <w:b/>
          <w:i w:val="0"/>
          <w:color w:val="000000"/>
          <w:sz w:val="28"/>
        </w:rPr>
        <w:t>&gt; 500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двигателей снижение займёт недопустимо долго. Двигательная установка обязательна.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lifetime_phase3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жизни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orbit_dv_phase3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ΔV схода с орбиты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23  АНАЛИЗ КОНЪЮНКЦИЙ И ПРЕДОТВРАЩЕНИЕ СТОЛКНОВЕНИЙ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23.1  Дебрисная среда на 1000 км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1000 км является одной из наиболее загрязнённых (пик распределения обломков от разрушения Iridium-33 и испытаний противоспутникового оружия).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Плотность потока мусора (MASTER-8, ESA):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Поток (#/м²/год)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Летальность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Отслеж.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&gt; 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1–10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× 10⁻³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 (повреждение)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23.2  Вероятность столкновения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Вероятность хотя бы одного столкновения (Пуассоновская модель):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P_collision = 1 - e⁻λ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λ = F · A_cross = 2,5 × 10⁻⁴ × 1,5 ≈ 3,75 × 10⁻⁴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столкн./год для летальных объектов.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7 лет, 300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λ_fleet = 3,75 × 10⁻⁴ × 300 × 7 ≈ 0,79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(23.94)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P(≥ 1 столкновение) = 1 - e^-0,79 ≈ 55%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Это значительный риск</w:t>
      </w:r>
      <w:r>
        <w:rPr>
          <w:rFonts w:ascii="Times New Roman" w:hAnsi="Times New Roman"/>
          <w:b w:val="0"/>
          <w:i w:val="0"/>
          <w:color w:val="000000"/>
          <w:sz w:val="28"/>
        </w:rPr>
        <w:t>, требующий активного управления: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23.3  Манёвры предотвращения столкновений (CAM)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Критерий манёвра: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P(c) &gt; 10⁻⁴ (вероятность столкновения при сближении)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Упрощённая формула Foster: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P(c) ≈ (A_c/2π σ_r σ_t) exp (-(d_miss²/2σ_r²))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(23.96)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площадь столкновения, </w:t>
      </w:r>
      <w:r>
        <w:rPr>
          <w:rFonts w:ascii="Courier New" w:hAnsi="Courier New"/>
          <w:b w:val="0"/>
          <w:i w:val="0"/>
          <w:color w:val="000000"/>
          <w:sz w:val="28"/>
        </w:rPr>
        <w:t>σ_r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σ_t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неопределённость положения RSO.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Результаты Монте-Карло (50 000 испытаний):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CAM/год/спутник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CAM/год (флот 300 сп.)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Всего CAM за 7 лет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 на CAM на спутник (7 лет)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ΔV на CAM вписывается в бюджет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(1,1 м/с из 50 м/с бюджета).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23.4  Расположение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Спутников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CAM/год (флот)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Всего (7 лет)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378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630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flux_phase4.pn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мусора vs высота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mc_phase4.pn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расстояний сближения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junction_cam_phase4.pn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манёвров CAM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24  ИНТЕГРАЦИЯ С СДКМ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24.1  Роль СДКМ в архитектуре АВРОРА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СДКМ (Система дифференциальной коррекции и мониторинга) — российский аналог SBAS (WAAS/EGNOS), работающий через геостационарные спутники ГЛОНАСС.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Интеграция АВРОРА с СДКМ обеспечивает: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Дополнительные поправки орбиты и часов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АВРОРА-спутников (СДКМ как независимый мониторинг)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Расширенный охват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зоне России (СДКМ охватывает +/−55° от геостационарных спутников)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Обмен форматом сообщений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(RTCM SC-104, SBAS Message Type 1–27)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24.2  УЕРЕ с СДКМ поправками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Применение поправок СДКМ снижает UERE: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СДКМ: UERE ≈ 1,2 м (L1)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СДКМ: UERE ≈ 0,4–0,6 м (уменьшение ионосферной и орбитальной составляющих)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coverage_phase3.pn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СДКМ покрытие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cm_uere_phase3.pn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УЕРЕ с СДКМ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25  МОНТЕ-КАРЛО АНАЛИЗ ТОЧНОСТИ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Монте-Карло симуляция проводилась для 10 000 независимых позиционных решений при следующих допущениях: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часов КА из гауссова распределения по бюджету UERE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ионосферы (Клобухар + остаток)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Случайные ошибки многолучёвости (логнормальное распределение)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Случайная геометрия из Walker-созвездия (N_vis = 11 в среднем, 7–22 по широте)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Формула погрешности позиции: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σ_pos = DOP · 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вектор DOP определяется матрицей проекций </w:t>
      </w:r>
      <w:r>
        <w:rPr>
          <w:rFonts w:ascii="Courier New" w:hAnsi="Courier New"/>
          <w:b w:val="0"/>
          <w:i w:val="0"/>
          <w:color w:val="000000"/>
          <w:sz w:val="28"/>
        </w:rPr>
        <w:t>G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(G^T G)⁻¹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(25.98)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√(D_11 + D_22 + D_33), HDOP = √(D_11 + D_22), VDOP = √(D_33)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(25.99)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25.2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Метрика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Аналитич.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Монте-Карло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Расхождение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CEP (50%) гориз.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3D-95%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Хорошее соответствие аналитической и стохастической моделей подтверждает правильность принятых допущений.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hist_phase3.pn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гистограмма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cdf_phase3.pn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CDF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c_vs_analytical_phase3.pn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Монте-Карло vs аналитика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26  УСТОЙЧИВОСТЬ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26.1  Модель деградации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Анализ устойчивости оценивает деградацию характеристик при отказе части спутников: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отказов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Работоспособных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(%)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(5%)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(10%)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OK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(20%)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98,5%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(40%)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92%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Ограниченный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 (60%)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Деградированный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Система сохраняет работоспособность (покрытие &gt; 90%) при отказе до </w:t>
      </w:r>
      <w:r>
        <w:rPr>
          <w:rFonts w:ascii="Times New Roman" w:hAnsi="Times New Roman"/>
          <w:b/>
          <w:i w:val="0"/>
          <w:color w:val="000000"/>
          <w:sz w:val="28"/>
        </w:rPr>
        <w:t>40% спутников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(уровень Фазы 3).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26.2  Устойчивость к прерыванию связи с НКУ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потере связи с наземным комплексом: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Автономная навигация через ISL-сетку: &gt; 72 часов без деградации точности часов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Удержание UTC(SU) на уровне &lt; 100 нс в течение: ≈ 3 ч (CSAC) / ≈ 24 ч (space-Rb)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Вещание навигационного сигнала: непрерывно (загруженные эфемериды действительны 4 ч)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6389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phase4.png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6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Устойчивость группировки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27  ЗАХВАТ СИГНАЛА И ВРЕМЯ ДО ПЕРВОГО ОПРЕДЕЛЕНИЯ МЕСТОПОЛОЖЕНИЯ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27.1  Доплеровский поиск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захвата сигнала NEO-спутника приёмник должен искать: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частоте: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000000"/>
          <w:sz w:val="28"/>
        </w:rPr>
        <w:t>± 38,6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кГц (L1) — в 8× шире, чем для GPS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 кодовой фазе: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0 до </w:t>
      </w:r>
      <w:r>
        <w:rPr>
          <w:rFonts w:ascii="Courier New" w:hAnsi="Courier New"/>
          <w:b w:val="0"/>
          <w:i w:val="0"/>
          <w:color w:val="000000"/>
          <w:sz w:val="28"/>
        </w:rPr>
        <w:t>T_code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 мс (стандартно)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ячеек поиска: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· Δ f_D,max/Δ f_step) × (T_code/Δτ_step)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</w:t>
      </w:r>
      <w:r>
        <w:rPr>
          <w:rFonts w:ascii="Courier New" w:hAnsi="Courier New"/>
          <w:b w:val="0"/>
          <w:i w:val="0"/>
          <w:color w:val="000000"/>
          <w:sz w:val="28"/>
        </w:rPr>
        <w:t>Δ f_step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500 Гц, </w:t>
      </w:r>
      <w:r>
        <w:rPr>
          <w:rFonts w:ascii="Courier New" w:hAnsi="Courier New"/>
          <w:b w:val="0"/>
          <w:i w:val="0"/>
          <w:color w:val="000000"/>
          <w:sz w:val="28"/>
        </w:rPr>
        <w:t>Δτ_step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0,5 чипа: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 = (2 × 38600/500) × (1023/0,5) ≈ 318 × 10³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параллельном поиске (FPGA): </w:t>
      </w:r>
      <w:r>
        <w:rPr>
          <w:rFonts w:ascii="Courier New" w:hAnsi="Courier New"/>
          <w:b w:val="0"/>
          <w:i w:val="0"/>
          <w:color w:val="000000"/>
          <w:sz w:val="28"/>
        </w:rPr>
        <w:t>t_search ≈ 0,5 с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27.2  Доплеровская аппроксимация из альманаха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Зная приблизительную орбиту из альманаха (точность 2–5 км), приёмник прогнозирует доплер с точностью ≈ ±100 Гц: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N_cells,warm = (2 × 100/500) × 2046 ≈ 819 ячеек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(27.102)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Время поиска при тёплом старте: ≈ 0,1 с.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doppler_phase3.png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поиск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quisition_ttff_phase3.pn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захвата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27.3  Ассистированный GNSS-сервер (A-GNSS)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Холодный старт (≈ 149 с) определяется почти целиком не захватом, а **скачиванием эфемерид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альманаха по медленному навигационному каналу** (250 бит/с → ~112 с) плюс слепым поиском по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всему доплеровскому диапазону. Серверная поддержка A-GNSS передаёт по быстрому каналу (LTE/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интернет, 3GPP TS 36.355 LPP) приближённые время и координаты (от соты), список видимых КА 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прогнозом доплера и действующие эфемериды/альманах.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Составляющая TTFF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Холодный (без A-GNSS)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A-GNSS (с сервером)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Захват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 с (слепой, ±42 кГц)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 (доплер сужен до ±0,5 кГц)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Скачивание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112 с (нав-канал 250 бит/с)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0,03 с (LTE, 3,7 КБ)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Измерение + решение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149 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7 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Ускорение ≈ 21×; TTFF укладывается в цель </w:t>
      </w:r>
      <w:r>
        <w:rPr>
          <w:rFonts w:ascii="Times New Roman" w:hAnsi="Times New Roman"/>
          <w:b/>
          <w:i w:val="0"/>
          <w:color w:val="000000"/>
          <w:sz w:val="28"/>
        </w:rPr>
        <w:t>&lt; 15 с</w:t>
      </w:r>
      <w:r>
        <w:rPr>
          <w:rFonts w:ascii="Times New Roman" w:hAnsi="Times New Roman"/>
          <w:b w:val="0"/>
          <w:i w:val="0"/>
          <w:color w:val="000000"/>
          <w:sz w:val="28"/>
        </w:rPr>
        <w:t>. Объём ассистирующих данных — ≈ 3,7 КБ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(эфемериды 8 КА + альманах + опорные время/координаты), по мобильному каналу передаётся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практически мгновенно.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aurora/pnt/agps_server.py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65929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ps_ttff_phase4.pn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659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Сокращение TTFF ассистирующим сервером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28  ВРЕМЕННА́Я СЛУЖБА И ШКАЛА ВРЕМЕНИ АВРОРА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28.1  Системная шкала времени АВРОРА Time (AT)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АВРОРА Time (AT) — собственная атомная шкала системы, физически реализуемая группой активных водородных мазеров Ч1-1008 (ВРЕМЯ-Ч) наземного эталона и связанная с UTC(SU):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UTC(SU) = AT - Δ_AT-UTC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Параметр </w:t>
      </w:r>
      <w:r>
        <w:rPr>
          <w:rFonts w:ascii="Courier New" w:hAnsi="Courier New"/>
          <w:b w:val="0"/>
          <w:i w:val="0"/>
          <w:color w:val="000000"/>
          <w:sz w:val="28"/>
        </w:rPr>
        <w:t>Δ_AT-UTC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передаётся в навигационном сообщении и обновляется каждые 6 часов.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28.2  Синхронизация AT с UTC(SU)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Через наземную сеть МКС (21 станция):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Прямое сравнение с группой активных H-мазеров Ч1-1008 (ВРЕМЯ-Ч) на станции МЦУ: </w:t>
      </w:r>
      <w:r>
        <w:rPr>
          <w:rFonts w:ascii="Courier New" w:hAnsi="Courier New"/>
          <w:b w:val="0"/>
          <w:i w:val="0"/>
          <w:color w:val="000000"/>
          <w:sz w:val="28"/>
        </w:rPr>
        <w:t>σ_comp ≈ 0,1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Передача коррекции через командную линию: задержка &lt; 1 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Стабильность AT относительно UTC(SU): &lt; 2 нс (1σ, суточный масштаб)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28.3  LPT — LEO Precision Timing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Сервис LPT обеспечивает наносекундную синхронизацию для наземных потребителей без использования навигационного позиционирования: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Одностороннее измерение времени: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t_user = t_sat - (R/c) + Δ_tropo + Δ_iono + δ_rel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Релятивистские поправки складываются из эффекта Саньяка (вращение Земли за время распространения сигнала) и релятивистской поправки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δ_rel = δ_Sagnac + δ_ecc, δ_Sagnac = (2Ω_E/c²) A_proj (0–207 нс), δ_ecc = -(2 (Rcdotv)/c²)≈ 0 (круговая орбита)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Постоянный гравитационно-доплеровский сдвиг бортовых часов (−0,206 ppb, §33.3) закладывается в стандарт частоты отдельно, а не в одностороннее измерение каждой эпохи.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Точность LPT: &lt; 10 нс (1σ) при одночастотном приёмнике.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28.4  Наземное распространение времени (SHIWA TIME / PTP²)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LPT доводит UTC(SU) до наземной опорной точки по радиоканалу (&lt; 10 нс). Дальнейшая раздача времени по пакетным сетям — внутри ЦОД, городских и операторских сетей, где радиосигнал недоступен — выполняется протоколом SHIWA TIME (внутреннее обозначение PTP²) разработки ShiwaNetwork. Это программная одноранговая (P2P) альтернатива классическому PTP (IEEE 1588), не требующая ни выделенного грандмастера, ни PTP-коммутаторов (Transparent/Boundary Clock).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Место в цепочке синхронизации: наземный приёмник LPT выступает источником времени для mesh-сети SHIWA TIME, которая распространяет его на остальные узлы: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UTC(SU) ──[АВРОРА LPT, радио]──► узел-источник SHIWA ──[SHIWA TIME mesh]──► потребители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52790"/>
            <wp:docPr id="70" name="Picture 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cept_time_dissemination_phase4.pn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52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Двухуровневая синхронизация: LPT (космос) + SHIWA TIME (земля)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Архитектура (двухслойная):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Управляющий слой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децентрализованная P2P-сеть на libp2p: обнаружение соседей (mDNS локально, Kademlia-DHT глобально), обмен состоянием через GossipSub. Источник времени выбирается не статичной BMCA, а по измеренным метрикам (расстояние до корня, наблюдаемое смещение и его джиттер, потери, тренд дрейфа) с проверкой распределений ошибок критерием Уэлча. Единого грандмастера нет — при отказе узла сеть продолжает работу.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Слой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стандартный обмен PTP по UDP (Sync / Follow</w:t>
      </w:r>
      <w:r>
        <w:rPr>
          <w:rFonts w:ascii="Times New Roman" w:hAnsi="Times New Roman"/>
          <w:b w:val="0"/>
          <w:i/>
          <w:color w:val="000000"/>
          <w:sz w:val="28"/>
        </w:rPr>
        <w:t>Up / Delay</w:t>
      </w:r>
      <w:r>
        <w:rPr>
          <w:rFonts w:ascii="Times New Roman" w:hAnsi="Times New Roman"/>
          <w:b w:val="0"/>
          <w:i w:val="0"/>
          <w:color w:val="000000"/>
          <w:sz w:val="28"/>
        </w:rPr>
        <w:t>Req / Delay_Resp); аппаратные метки времени сетевой карты (разрешение 1–4 нс) там, где они есть, иначе программные. Опорные узлы SHIWA TIME несут термостатированный кварцевый стандарт класса Stratum 3E (Rakon ROD2522S2 / SiTime SiT5801, ADEV ~5×10⁻¹², holdover до 24 ч), при необходимости — миниатюрный CSAC для автономного удержания.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Алгоритм «счастливого пакета» (Lucky Packet Filter).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Полная задержка пакета складывается из четырёх составляющих: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D = D_распр + D_сериал + D_очередь + D_обраб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(28.106)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Из них лишь </w:t>
      </w:r>
      <w:r>
        <w:rPr>
          <w:rFonts w:ascii="Courier New" w:hAnsi="Courier New"/>
          <w:b w:val="0"/>
          <w:i w:val="0"/>
          <w:color w:val="000000"/>
          <w:sz w:val="28"/>
        </w:rPr>
        <w:t>D_очередь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обнуляется при отсутствии нагрузки. Поэтому вместо усреднения (как в PTP) из скользящего окна </w:t>
      </w:r>
      <w:r>
        <w:rPr>
          <w:rFonts w:ascii="Courier New" w:hAnsi="Courier New"/>
          <w:b w:val="0"/>
          <w:i w:val="0"/>
          <w:color w:val="000000"/>
          <w:sz w:val="28"/>
        </w:rPr>
        <w:t>N = 150…1000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измерений half-RTT берётся </w:t>
      </w:r>
      <w:r>
        <w:rPr>
          <w:rFonts w:ascii="Times New Roman" w:hAnsi="Times New Roman"/>
          <w:b/>
          <w:i w:val="0"/>
          <w:color w:val="000000"/>
          <w:sz w:val="28"/>
        </w:rPr>
        <w:t>минимум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он соответствует пакету, прошедшему сеть без очередей, и даёт оценку реальной задержки канала. Смещение часов вычисляется как </w:t>
      </w:r>
      <w:r>
        <w:rPr>
          <w:rFonts w:ascii="Courier New" w:hAnsi="Courier New"/>
          <w:b w:val="0"/>
          <w:i w:val="0"/>
          <w:color w:val="000000"/>
          <w:sz w:val="28"/>
        </w:rPr>
        <w:t>(t_2 - t_1) - D_min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не требует допущения о симметрии путей — в этом ключевое отличие от PTP. Измерения проходят трёхуровневую фильтрацию: минимум по окну → медиана ± 3·MAD → ПИД-регулятор с anti-windup. Известное ограничение метода — «застревание» старого минимума после смены маршрута; компенсируется высоким темпом пакетов (128 пак/с обновляют окно за ~1 с) и детектором скачка медианы.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Достижимая точность.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Ограничена качеством IP-пути (асимметрия, джиттер, потери) и потому зависит от среды: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Профиль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Аппарат. метки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 (1σ)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— LAN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ЦОД, биржа, малая нагрузка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 — WAN/VPN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операторские, георазнесённые сети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 — LTE/интернет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мобильные, удалённые объекты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 — деградация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разрыв связи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удержание (holdover)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 лабораторном 30-суточном тесте на LAN (профиль A) получена RMS-ошибка 3,2 нс против 47 нс у программного PTP без аппаратных меток; над хорошо настроенным аппаратным PTP с TC/BC выигрыш — порядка 2–3×. Масштабирование проверено до 10⁵ узлов (RMS ≈ 6,5 нс, нагрузка на CPU &lt; 1,5%). Значение ±2–3 нс соответствует разрешению аппаратной метки сетевой карты (физический потолок), а не достигаемой в эксплуатации точности.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Сквозной бюджет АВРОРА + SHIWA TIME: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Потребитель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LPT (космос)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SHIWA TIME (земля)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(RSS)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ЦОД / биржа (LAN)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7–11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Оператор связи (WAN)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±50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50 нс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Мобильный / edge (LTE)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5–10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±200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200 нс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Устойчивость к подмене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и SHIWA TIME образуют два независимых источника UTC: радиоканал LPT с аутентификацией навигационного сигнала (TESLA MAC, §16) и наземная mesh-сеть с подписью пакетов и медианным голосованием по нескольким маршрутам. Расхождение между источниками служит индикатором спуфинга GNSS или сетевой атаки: при подмене одного система опирается на второй и переходит в режим удержания (профиль D).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28.5  Перспектива: трансляция времени непосредственно со спутника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Базовый сервис LPT (§28.3) уже является прямой односторонней трансляцией шкалы времени со спутника по навигационному сигналу. Развитие в части «время как услуга непосредственно с орбиты» возможно по нескольким направлениям: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Спутник как доверенный источник времени mesh-сети.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Бортовая шкала (CSAC/space-Rb, §8), привязанная к UTC(SU), вводится в наземную сеть SHIWA TIME как источник наивысшего приоритета, не зависящий от GNSS. Космос даёт суверенный эталон, наземная сеть — масштабную раздачу.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Двусторонняя передача времени (TWSTT) для опорных узлов.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стационарных потребителей с повышенными требованиями двусторонний обмен метками через КА устраняет неопределённость геометрии и позволяет выйти на субнаносекундный уровень — на порядок точнее одностороннего LPT. Механизм уже отработан в межспутниковых линиях (§8.3, §9).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Выделенный канал службы времени.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Расширение навигационного сообщения (§7) либо отдельный низкоскоростной канал может транслировать служебные данные времени: поправки UTC, секунды координации, параметры целостности и криптографическую аутентификацию времени поверх TESLA MAC (§16) — то есть подтверждённое, защищённое от подмены время на стороне приёмника без обращения к наземной сети.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Орбитальный резерв шкалы.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ISL-сеть (§9) поддерживает единую шкалу космического сегмента, питающую несколько наземных опорных узлов SHIWA TIME одновременно, что убирает единую точку отказа на стыке «космос — земля».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Существенное ограничение: алгоритм «счастливого пакета» рассчитан на пакетную сеть с переменными очередями и неприменим к радиоканалу, где задержка детерминирована геометрией. Поэтому на участке «спутник → приёмник» применяется не статистический фильтр минимума, а прямая геометрическая коррекция дальности (как в LPT, §28.3); SHIWA TIME остаётся протоколом наземного сегмента. Прямая орбитальная трансляция времени реализуется средствами LPT/TWSTT и канала службы времени, а SHIWA TIME подключается ниже — на земле.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29  КОМБИНИРОВАННАЯ СИМУЛЯЦИЯ СИСТЕМЫ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29.1  Интегральная модель системы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Комбинированная симуляция объединяет все модули: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Орбитальная динамика (SGP4/J2) </w:t>
        <w:br/>
        <w:t xml:space="preserve">    ↓</w:t>
        <w:br/>
        <w:t>Геометрия (DOP, visibility)</w:t>
        <w:br/>
        <w:t xml:space="preserve">    ↓</w:t>
        <w:br/>
        <w:t>Бюджет сигнала (C/N₀)          →  UERE_code</w:t>
        <w:br/>
        <w:t>Ионосфера (NeQuick-G / IF)      →  UERE_iono</w:t>
        <w:br/>
        <w:t>Орбитальное определение (ОО)   →  UERE_orbit</w:t>
        <w:br/>
        <w:t>Часовая цепочка               →  UERE_clk</w:t>
        <w:br/>
        <w:t xml:space="preserve">    ↓</w:t>
        <w:br/>
        <w:t>RSS → UERE_total</w:t>
        <w:br/>
        <w:t xml:space="preserve">    ↓</w:t>
        <w:br/>
        <w:t>position_error = DOP × UERE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29.2  Сводные результаты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49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(авт.)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H-95%¹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V-95%¹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N/A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 м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13,87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3,4 м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¹ </w:t>
      </w:r>
      <w:r>
        <w:rPr>
          <w:rFonts w:ascii="Times New Roman" w:hAnsi="Times New Roman"/>
          <w:b/>
          <w:i/>
          <w:color w:val="555555"/>
          <w:sz w:val="28"/>
        </w:rPr>
        <w:t>N_vis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и </w:t>
      </w:r>
      <w:r>
        <w:rPr>
          <w:rFonts w:ascii="Times New Roman" w:hAnsi="Times New Roman"/>
          <w:b/>
          <w:i/>
          <w:color w:val="555555"/>
          <w:sz w:val="28"/>
        </w:rPr>
        <w:t>PDOP p95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автономный режим LEO (</w:t>
      </w:r>
      <w:r>
        <w:rPr>
          <w:rFonts w:ascii="Courier New" w:hAnsi="Courier New"/>
          <w:b w:val="0"/>
          <w:i/>
          <w:color w:val="555555"/>
          <w:sz w:val="22"/>
        </w:rPr>
        <w:t>results/phase*/summary_*.json</w:t>
      </w:r>
      <w:r>
        <w:rPr>
          <w:rFonts w:ascii="Times New Roman" w:hAnsi="Times New Roman"/>
          <w:b w:val="0"/>
          <w:i/>
          <w:color w:val="555555"/>
          <w:sz w:val="28"/>
        </w:rPr>
        <w:t>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 xml:space="preserve">Колонки </w:t>
      </w:r>
      <w:r>
        <w:rPr>
          <w:rFonts w:ascii="Times New Roman" w:hAnsi="Times New Roman"/>
          <w:b/>
          <w:i/>
          <w:color w:val="555555"/>
          <w:sz w:val="28"/>
        </w:rPr>
        <w:t>UERE / H-95% / V-95%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— комбинированный режим LEO+ГЛОНАСС+СДКМ (Mode C, §24–§25).</w:t>
      </w: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 w:val="0"/>
          <w:i/>
          <w:color w:val="555555"/>
          <w:sz w:val="28"/>
        </w:rPr>
        <w:t>В автономном режиме точность ниже: для Фазы 4 PDOP p95 ≈ 5,0, UERE ≈ 3,1 м, CEP₅₀ ≈ 6,5 м (§12.3).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30  ГРАФИК РАЗВЁРТЫВАНИЯ ГРУППИРОВКИ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30.1  Ракеты-носители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Союз-2.1б / Ангара-1.2: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Полезная нагрузка на 1000 км ССО: 6500 кг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Число спутников на запуск: </w:t>
      </w:r>
      <w:r>
        <w:rPr>
          <w:rFonts w:ascii="Courier New" w:hAnsi="Courier New"/>
          <w:b w:val="0"/>
          <w:i w:val="0"/>
          <w:color w:val="000000"/>
          <w:sz w:val="28"/>
        </w:rPr>
        <w:t>⌊ 6500/140 ⌋ = 46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спутников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Стоимость запуска: $50M (ориентировочно)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30.2  Фазный план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Год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Новых сп.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Кумул.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Запусков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РФ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p95 (РФ)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34,6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2031,0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5,15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2033,5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≈2,0 (глоб. p95 5,0)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*Число пусков при 46 сп./носитель (§30.1); на практике ограничено схемой «один пуск — одна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плоскость», поэтому фактических пусков может быть больше (по числу новых плоскостей фазы).*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30.3  Статус сервисов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Ф0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Ф1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LPT (синхронизация)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измерения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Навигация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России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82%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частичн.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СДКМ-дополнение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71" name="Picture 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full.png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ats_full.png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Наращивание группировки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verage_full.pn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Покрытие и PDOP vs год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cost_full.pn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Стоимость по фазам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31  ТЕХНИКО-ЭКОНОМИЧЕСКОЕ ОБОСНОВАНИЕ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Технико-экономическое обоснование (ТЭО) в составе настоящего технического проекта не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приводится. Согласно ЕСКД (ГОСТ 2.103) и ГОСТ Р 15.201, ТЭО относится к стадии обоснования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разработки, предшествующей техническому проекту, и оформляется самостоятельным документом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(АВРОРА-ТЭО-001): оценка рынка, коммерческая модель, выручка и срок окупаемости выходят 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рамки технического проектирования.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Стоимостные оценки жизненного цикла системы, необходимые как инженерный вход (выбор COTS,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кратность резерва, число пусков), приведены в §51 «Стоимостная модель (LCC)».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32  РАДИАЦИОННАЯ СРЕДА И РАДИАЦИОННАЯ СТОЙКОСТЬ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32.1  Условия радиационного воздействия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Орбита АВРОРА (1000 км / 75°) пересекает внутренний пояс протонов Ван Аллена. Интенсивность потока протонов с энергией &gt; 10 МэВ составляет ≈ 5×10¹² п/см²/год (AP8-MIN). Без экранирования доза ионизации (TID) достигает 80 кРад/год (Si).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Модель затухания TID в алюминиевом экране: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TID(d, t) = TID_0 · e⁻d/λ ·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TID_0 = 80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кРад/год, </w:t>
      </w:r>
      <w:r>
        <w:rPr>
          <w:rFonts w:ascii="Courier New" w:hAnsi="Courier New"/>
          <w:b w:val="0"/>
          <w:i w:val="0"/>
          <w:color w:val="000000"/>
          <w:sz w:val="28"/>
        </w:rPr>
        <w:t>λ = 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мм Al, </w:t>
      </w:r>
      <w:r>
        <w:rPr>
          <w:rFonts w:ascii="Courier New" w:hAnsi="Courier New"/>
          <w:b w:val="0"/>
          <w:i w:val="0"/>
          <w:color w:val="000000"/>
          <w:sz w:val="28"/>
        </w:rPr>
        <w:t>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толщина экрана,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срок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32.2  Анализ TID по подсистемам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Экран Al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TID 7 лет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Запас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16,9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75,8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Граница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0,4×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Превышение*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Солнечная батарея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436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кРад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Ограничение жизни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*Требует применения радиационно-стойких версий (rad-hard CMOS ≥ 300 кРад) или увеличения толщины экрана до 6 мм.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Бортовой CSAC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(предел стойкости 20 крад) удерживается локальным (точечным) экранированием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 эквивалента 7 мм Al — запас 1,2×. К штатному 4-мм экрану платформы добавляется точечный экран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из тантала/вольфрама ≈ 3 мм Al-экв. (масса ~30–50 г на прибор), что несущественно для массового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бюджета (часы ~35 г, §19). Альтернатива/дополнение — секторный анализ дозы с учётом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самоэкранирования корпусом КА, обычно снижающий дозу на 20–40%.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32.3  SEU (Single Event Upset)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Скорость одиночных ошибок для разных типов памяти: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SEU rate = Φ_eff(d) · σ_cross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Φ_eff(d) = Φ_0 · e⁻d / (⁵λ)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эффективный поток с учётом экрана.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 памяти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(см²)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SEU @ 4 мм Al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SRAM (0,35 мкм)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~10⁻⁴ соб./устр./день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Flash (90 нм)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~10⁻⁵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кРад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FRAM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1×10⁻⁹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~2×10⁻⁶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кРад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Рекомендация: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применение MRAM/FRAM для критических данных бортового компьютера.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32.4  Влияние радиации на OCXO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Частотный уход OCXO под действием радиации (SC-cut кварц):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f/f_0)|_rad = α_rad · TID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(32.109)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α_rad ≈ 10⁻¹⁰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/кРад. При экране 3 мм и TID = 125 кРад: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 = 12,5 нс/с ⇒ Δ f = 12,5 ppb (за 7 лет)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(32.110)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снижения до &lt; 1 ppb необходим экран не менее 6 мм.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tid_depth_phase4.pn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TID vs толщина экрана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seu_rate_phase4.pn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SEU rate по типам памяти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component_phase4.pn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Радиационная нагрузка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diation_ocxo_drift_phase4.pn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Радиационный уход OCXO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33  РЕЛЯТИВИСТСКИЕ ПОПРАВКИ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33.1  Гравитационный красный сдвиг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гравитационного потенциала между спутником и наземным приёмником вызывает голубое смещение частоты бортовых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f/f_0)|_grav = (GM/c²)((1/R_E) - (1/r_sat))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</w:t>
      </w:r>
      <w:r>
        <w:rPr>
          <w:rFonts w:ascii="Courier New" w:hAnsi="Courier New"/>
          <w:b w:val="0"/>
          <w:i w:val="0"/>
          <w:color w:val="000000"/>
          <w:sz w:val="28"/>
        </w:rPr>
        <w:t>r = R_E + h = 6371 + 1000 = 7371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.(Δ f/f_0)|_grav,LEO = +0,0944 ppb (≈ +8,16 мкс/день)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GPS MEO (20 200 км): </w:t>
      </w:r>
      <w:r>
        <w:rPr>
          <w:rFonts w:ascii="Courier New" w:hAnsi="Courier New"/>
          <w:b w:val="0"/>
          <w:i w:val="0"/>
          <w:color w:val="000000"/>
          <w:sz w:val="28"/>
        </w:rPr>
        <w:t>+0,5292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+45,7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33.2  Эффект Доплера второго порядка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Движение спутника со скоростью </w:t>
      </w:r>
      <w:r>
        <w:rPr>
          <w:rFonts w:ascii="Courier New" w:hAnsi="Courier New"/>
          <w:b w:val="0"/>
          <w:i w:val="0"/>
          <w:color w:val="000000"/>
          <w:sz w:val="28"/>
        </w:rPr>
        <w:t>v_orb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замедляет его часы: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(Δ f/f_0)|_Doppler2 = -(v²/2c²)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</w:t>
      </w:r>
      <w:r>
        <w:rPr>
          <w:rFonts w:ascii="Courier New" w:hAnsi="Courier New"/>
          <w:b w:val="0"/>
          <w:i w:val="0"/>
          <w:color w:val="000000"/>
          <w:sz w:val="28"/>
        </w:rPr>
        <w:t>v = 7354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м/с): </w:t>
      </w:r>
      <w:r>
        <w:rPr>
          <w:rFonts w:ascii="Courier New" w:hAnsi="Courier New"/>
          <w:b w:val="0"/>
          <w:i w:val="0"/>
          <w:color w:val="000000"/>
          <w:sz w:val="28"/>
        </w:rPr>
        <w:t>-0,3008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ppb ≈ −26,0 мкс/день.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33.3  Суммарная поправка и сравнение систем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Высота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Гравит.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Доплер-2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Суммарный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нс/сут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+0,094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−0,301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−0,206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−17 833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ISS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+0,041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−0,328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−0,286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−24 743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MEO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+0,529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−0,084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+0,446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+38 514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GEO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35 786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+0,591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−0,053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+0,538 ppb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+46 511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 LEO-спутников (1000 км) гравитационный эффект слабее доплеровского, поэтому суммарная поправка отрицательна — бортовые часы </w:t>
      </w:r>
      <w:r>
        <w:rPr>
          <w:rFonts w:ascii="Times New Roman" w:hAnsi="Times New Roman"/>
          <w:b/>
          <w:i w:val="0"/>
          <w:color w:val="000000"/>
          <w:sz w:val="28"/>
        </w:rPr>
        <w:t>отстают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от наземной шкалы UTC примерно на 17,8 мкс/сут. Для GPS (MEO 20 200 км) — обратная ситуация: часы на КА уходят вперёд на +38,5 мкс/сут (известная поправка GPS Block III). При проектировании АВРОРА эта величина закладывается как преднамеренное частотное смещение бортового стандарта (offset) либо компенсируется поправками в навигационном сообщении.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Поправка вносится в бортовые часы производителем, а остаточная погрешность корректируется через навигационное сообщение.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33.4  Поправка Саньяка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передаче сигнала от спутника к наземному приёмнику вращение Земли создаёт дополнительную задержку: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t_Sagnac = (2Ω_E/c²) · A_proj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(33.114)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A_proj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проекция площади треугольника (центр Земли — спутник — приёмник) на экватор. Типовая величина: 0–207 нс в зависимости от геометрии.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clock_phase4.pn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Релятивистские поправки: часовой сдвиг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ativistic_ns_day_phase4.pn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Суммарный сдвиг нс/сут по высоте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34  ТРОПОСФЕРНАЯ КОРРЕКЦИЯ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34.1  Модель Саастамойнена (ZHD/ZWD)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Зенитная тропосферная задержка (ZTD) состоит из двух компонент: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Гидростатическая задержка (ZHD):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ZHD = (0,0022768 · P_0/1 - 0,00266cos(2φ) - 0,00028 · H)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P_0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приземное давление (гПа), </w:t>
      </w:r>
      <w:r>
        <w:rPr>
          <w:rFonts w:ascii="Courier New" w:hAnsi="Courier New"/>
          <w:b w:val="0"/>
          <w:i w:val="0"/>
          <w:color w:val="000000"/>
          <w:sz w:val="28"/>
        </w:rPr>
        <w:t>φ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широта, </w:t>
      </w:r>
      <w:r>
        <w:rPr>
          <w:rFonts w:ascii="Courier New" w:hAnsi="Courier New"/>
          <w:b w:val="0"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высота (км).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Влажная задержка (ZWD):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ZWD = 0,0022768 · ((1255/T) + 0,05) · 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температура (К), </w:t>
      </w:r>
      <w:r>
        <w:rPr>
          <w:rFonts w:ascii="Courier New" w:hAnsi="Courier New"/>
          <w:b w:val="0"/>
          <w:i w:val="0"/>
          <w:color w:val="000000"/>
          <w:sz w:val="28"/>
        </w:rPr>
        <w:t>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давление водяного пара (гПа).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стандартной атмосферы (φ = 55°, H = 0): ZHD ≈ 2,30 м, ZWD ≈ 0,09 м, ZTD ≈ 2,39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34.2  Функции отображения (Mapping Functions)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Наклонная задержка STD: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STD = ZHD · m_h(ε) + ZWD · m_w(ε)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Функция Нилла (NMF) для гидростатики: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m_h(ε) = frac1sinε + dfrac0,00143tanε + 0,0445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(34.118)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ε = 30°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2,0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; при </w:t>
      </w:r>
      <w:r>
        <w:rPr>
          <w:rFonts w:ascii="Courier New" w:hAnsi="Courier New"/>
          <w:b w:val="0"/>
          <w:i w:val="0"/>
          <w:color w:val="000000"/>
          <w:sz w:val="28"/>
        </w:rPr>
        <w:t>ε = 5°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</w:t>
      </w:r>
      <w:r>
        <w:rPr>
          <w:rFonts w:ascii="Courier New" w:hAnsi="Courier New"/>
          <w:b w:val="0"/>
          <w:i w:val="0"/>
          <w:color w:val="000000"/>
          <w:sz w:val="28"/>
        </w:rPr>
        <w:t>m_h ≈ 10,5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34.3  Сравнение моделей коррекции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Остаточная ошибка (ε = 30°)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Дополнит. данные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Без коррекции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~120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Саастамойнен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Давление, темп.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GPT2 (климат.)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ECMWF числовой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~2,4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NWP модели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дифф.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~1,2 см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приёмника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Для АВРОРА PPP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используется модель GPT2 (без внешних данных) с остаточной ошибкой 6 см. Точность повышается до 2,4 см при использовании ECMWF NWP.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34.4  Вклад тропосферы в бюджет UERE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двухчастотном режиме L1/L5 ионосфера устранена, тропосфера остаётся источником ошибки: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GPT2): </w:t>
      </w:r>
      <w:r>
        <w:rPr>
          <w:rFonts w:ascii="Times New Roman" w:hAnsi="Times New Roman"/>
          <w:b/>
          <w:i w:val="0"/>
          <w:color w:val="000000"/>
          <w:sz w:val="28"/>
        </w:rPr>
        <w:t>6 см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ε = 30°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UERE_tropo (L1+L5, ECMWF): </w:t>
      </w:r>
      <w:r>
        <w:rPr>
          <w:rFonts w:ascii="Times New Roman" w:hAnsi="Times New Roman"/>
          <w:b/>
          <w:i w:val="0"/>
          <w:color w:val="000000"/>
          <w:sz w:val="28"/>
        </w:rPr>
        <w:t>2,4 см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ztd_vs_lat_phase4.pn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ZTD по широте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apping_phase4.pn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Функции отображения NMF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seasonal_phase4.pn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Сезонные вариации ZTD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369127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opo_model_compare_phase4.pn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369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моделей коррекции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35  НАДЁЖНОСТЬ И MTBF ПОДСИСТЕМ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35.1  Модель надёжности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каждой подсистемы моделируется экспоненциальным законом: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R_i(t) = e⁻λ_ⁱ t = e⁻t/MTBF_ⁱ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(35.119)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Надёжность спутника (последовательная структура критических подсистем):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R_sat(t) = Π_i ∈ критич. R_i(t)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35.2  MTBF критических подсистем (ECSS-Q-ST-30, класс 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MTBF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R(7 лет)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Критич.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CSAC (SA.45s), терминальный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 (Quantum-18), якорный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OCXO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73,6%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Бортовой компьютер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81,5%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ADCS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54,2%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Ресивер L1/L5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66,4%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Двигатель (ХГ)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500 000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88,5%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Примечание: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одиночная надёжность спутника R(7 лет) ≈ 3,4% (без резервирования). На практике применяется горячее резервирование для часов и компьютера, что повышает R до ~40–60%.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35.3  Деградация созвездия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работающих спутников: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E[N_working(t)] = N_total · R_sat(t)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</w:t>
      </w:r>
      <w:r>
        <w:rPr>
          <w:rFonts w:ascii="Courier New" w:hAnsi="Courier New"/>
          <w:b w:val="0"/>
          <w:i w:val="0"/>
          <w:color w:val="000000"/>
          <w:sz w:val="28"/>
        </w:rPr>
        <w:t>R_sat(7 лет) ≈ 3,4%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резервирования и </w:t>
      </w:r>
      <w:r>
        <w:rPr>
          <w:rFonts w:ascii="Courier New" w:hAnsi="Courier New"/>
          <w:b w:val="0"/>
          <w:i w:val="0"/>
          <w:color w:val="000000"/>
          <w:sz w:val="28"/>
        </w:rPr>
        <w:t>≈ 50%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резервированием: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Без резервирования: E ≈ 10 спутников через 7 лет (катастрофично)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С резервированием: E ≈ 150 спутников через 7 лет → необходимо пополнение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поддержания ≥ 270 рабочих спутников необходима программа замены 20–30 спутников в год, начиная с 4-го года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35.4  Запасные спутники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Число запасных спутников для 95% уверенности: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N_spare = F⁻¹_Poisson(0,95; λ = N_total · (1 - R_sat))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(35.122)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наличии 5 запасных спутников на орбите и работающей атомной цепочке (CSAC + space-Rb-якоря): надёжность сети обеспечивается в первые 3 года без пополнения.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ubsystem_mtbf_phase4.pn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MTBF и надёжность подсистем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sat_r_vs_time_phase4.pn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Надёжность спутника vs время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iability_fleet_degradation_phase4.pn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Деградация созвездия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36  PPP: АЛГОРИТМ И ВРЕМЯ СХОДИМОСТИ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36.1  Наблюдательная модель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Псевдодальность и фазовое измерение: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 = r + c(δ t_r - δ t^s) + 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(36.123)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 = r + c(δ t_r - δ t^s) - I + T + λ N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Вектор состояния: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x = [x, y, z, δ t_r, ZWD, N_L1, N_L5, …]^T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(36.125)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36.2  Kalman-фильтр PPP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прогноза: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P_k|k-1 = F P_k-1 F^T + Q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обновления: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K = P_k|k-1 H^T (H P_k|k-1 H^T + R)⁻¹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(36.127)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P_k = (I - KH) P_k|k-1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(36.128)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36.3  Время сходимости АВРОРА vs MEO-ГНСС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Ключевое преимущество LEO: быстрое изменение геометрии созвездия (угловая скорость ~14,9 мин/проход) ускоряет разрешение неоднозначностей несущей.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N_vis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Dual-freq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 (σ_H &lt; 10 см)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FOC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(до 22)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IOC (Ф2)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~5–10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~2–5 мин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(стандарт, 1 сп.)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20–40 мин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обеспечивает быструю сходимость PPP (1–3 мин против 20–40 мин у одиночного MEO) за счёт большого числа спутников с быстро меняющейся геометрией — это одно из ключевых преимуществ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36.4  Геометрия LEO vs MEO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LEO (1000 км)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 MEO (19 100 км)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Видимых спутников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(из 300, до 22)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(из 24)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прохода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мин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284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dDOP/dt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Низкий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Доплер-скорость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 кГц/с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кГц/с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ergence_phase4.pn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Сравнение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conv_bar_phase4.pn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89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p_leo_vs_meo_phase4.pn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LEO vs MEO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37  ТОЧНОСТЬ НАВИГАЦИОННОГО СИГНАЛА (SISA/URE)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37.1  Метрики точности сигнала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URE (User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дальностная ошибка от эфемерид и часов: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URE = √(σ_r² + ((σ_a/√(n)))² + ((σ_c/√(n)))² + σ_clk²)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(37.129)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n = 49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типовой геометрический коэффициент.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SISA (Signal In Space Accuracy)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прогнозируемая точность для навигационного сообщения: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SISA = 1,1 · URE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(37.130)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UERE (User Equivalent Range Error)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суммарная ошибка у пользователя: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UERE = √(URE² + σ_iono² + σ_tropo² + σ_mp² + σ_noise²)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(37.131)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37.2  Сравнение АВРОРА / GPS / Galileo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59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SISA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L1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0,239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E1/E5a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0,180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 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L1/L5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0,50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 точности </w:t>
      </w:r>
      <w:r>
        <w:rPr>
          <w:rFonts w:ascii="Times New Roman" w:hAnsi="Times New Roman"/>
          <w:b/>
          <w:i w:val="0"/>
          <w:color w:val="000000"/>
          <w:sz w:val="28"/>
        </w:rPr>
        <w:t>одной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(UERE dual ≈ 0,7 м) сопоставима с ГЛОНАСС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несколько уступает GPS/Galileo. Это плата за низкую орбиту (сложнее орбитальное определение,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быстрая динамика) и бортовой CSAC вместо PHM/Cs у MEO. Конкурентное преимущество АВРОРА лежит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не в точности 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геометрии комбинированного режима, мощности сигнала и скорости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PPP-сходимости (см. §41). Тропосфера и многолучёвость у АВРОРА при этом ниже благодаря высоким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углам возвышения LEO, что частично компенсирует орбитально-часовой вклад.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37.3  Бюджет ошибок АВРОРА (dual-freq)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(радиальные, транслируемые; §47)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(вдоль/попереч.)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(CSAC, остаток прогноза, §8.6)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(dual-freq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dual-freq (RSS)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≈ 0,70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Доминируют </w:t>
      </w:r>
      <w:r>
        <w:rPr>
          <w:rFonts w:ascii="Times New Roman" w:hAnsi="Times New Roman"/>
          <w:b/>
          <w:i w:val="0"/>
          <w:color w:val="000000"/>
          <w:sz w:val="28"/>
        </w:rPr>
        <w:t>орбитальное определение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 LEO сложнее из-за быстрой динамики и торможения) и </w:t>
      </w:r>
      <w:r>
        <w:rPr>
          <w:rFonts w:ascii="Times New Roman" w:hAnsi="Times New Roman"/>
          <w:b/>
          <w:i w:val="0"/>
          <w:color w:val="000000"/>
          <w:sz w:val="28"/>
        </w:rPr>
        <w:t>тропосфера</w:t>
      </w:r>
      <w:r>
        <w:rPr>
          <w:rFonts w:ascii="Times New Roman" w:hAnsi="Times New Roman"/>
          <w:b w:val="0"/>
          <w:i w:val="0"/>
          <w:color w:val="000000"/>
          <w:sz w:val="28"/>
        </w:rPr>
        <w:t>. Шум приёмника и многолучёвость у АВРОРА, наоборот, снижены за счёт мощного сигнала (+23 дБ) и высоких углов возвышения. Часовой вклад (0,2 м) — остаток прогноза дисциплинированного CSAC, не ограничивающий фактор.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re_budget_phase4.pn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URE/SISA/UERE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gnal_uere_breakdown_phase4.pn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UERE АВРОРА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37.4  Межчастотная аппаратная задержка (TGD/DCB)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Сигналы L1 и L5 проходят разные тракты бортовой аппаратуры и приобретают разную групповую задержку. Их разность — </w:t>
      </w:r>
      <w:r>
        <w:rPr>
          <w:rFonts w:ascii="Times New Roman" w:hAnsi="Times New Roman"/>
          <w:b/>
          <w:i w:val="0"/>
          <w:color w:val="000000"/>
          <w:sz w:val="28"/>
        </w:rPr>
        <w:t>TGD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(Timing Group Delay) / </w:t>
      </w:r>
      <w:r>
        <w:rPr>
          <w:rFonts w:ascii="Times New Roman" w:hAnsi="Times New Roman"/>
          <w:b/>
          <w:i w:val="0"/>
          <w:color w:val="000000"/>
          <w:sz w:val="28"/>
        </w:rPr>
        <w:t>DCB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(Differential Code Bias) — обязательна к учёту: типовая величина ≈ 5 нс (≈ 1,5 м по дальности).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Бортовые часы транслируются относительно ионосферосвободной (IF) комбинации (§6.1), поэтому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компенсирует TGD автоматически; остаётся лишь остаток наземной калибровки DCB и температурный дрейф межчастотного смещения, усиленный коэффициентами IF-комбинации: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σ_TGD,dual = √(α_1² + α_2²) · σ_DCB = 2,59 · σ_DCB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(37.132)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наземной калибровке DCB до </w:t>
      </w:r>
      <w:r>
        <w:rPr>
          <w:rFonts w:ascii="Courier New" w:hAnsi="Courier New"/>
          <w:b w:val="0"/>
          <w:i w:val="0"/>
          <w:color w:val="000000"/>
          <w:sz w:val="28"/>
        </w:rPr>
        <w:t>σ_DCB ≈ 0,10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нс остаток составляет ≈ 0,26 нс ≈ </w:t>
      </w:r>
      <w:r>
        <w:rPr>
          <w:rFonts w:ascii="Times New Roman" w:hAnsi="Times New Roman"/>
          <w:b/>
          <w:i w:val="0"/>
          <w:color w:val="000000"/>
          <w:sz w:val="28"/>
        </w:rPr>
        <w:t>0,08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часовой член бюджета UERE (0,20 м, §37.3), не являясь ограничивающим фактором. </w:t>
      </w:r>
      <w:r>
        <w:rPr>
          <w:rFonts w:ascii="Times New Roman" w:hAnsi="Times New Roman"/>
          <w:b/>
          <w:i w:val="0"/>
          <w:color w:val="000000"/>
          <w:sz w:val="28"/>
        </w:rPr>
        <w:t>Одночастотный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пользователь применяет транслируемый параметр TGD из навигационного сообщения (§7); его остаток (квантование + временна́я нестабильность) ≈ </w:t>
      </w:r>
      <w:r>
        <w:rPr>
          <w:rFonts w:ascii="Times New Roman" w:hAnsi="Times New Roman"/>
          <w:b/>
          <w:i w:val="0"/>
          <w:color w:val="000000"/>
          <w:sz w:val="28"/>
        </w:rPr>
        <w:t>0,09 м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Параметр TGD периодически калибруется наземным сегментом (§54) и обновляется в навигационном сообщении.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13809"/>
            <wp:docPr id="93" name="Picture 9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gd_dcb_phase4.pn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138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Вклад TGD/DCB в UERE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38  СИСТЕМА УПРАВЛЕНИЯ ОРИЕНТАЦИЕЙ (ADCS)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38.1  Бюджет ошибки наведения антенны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к ADCS определяются допустимым уходом навигационной антенны (ΔΘ_max) и углом опережения ISL.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Суммарная ошибка наведения (RSS, 3σ):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3σ (мДег)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Звёздный датчик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Волоконный гироскоп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Ошибка контроллера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Термоупругая деформация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Гибкость конструкции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Монтаж антенны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RSS суммарный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35,4 мДег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Потеря усиления навигационной антенны (BW₃ = 20°): ΔG &lt; 0,001 dB — пренебрежимо мало.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38.2  Возмущающие моменты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Типовое 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Гравитационный градиент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2 084 нН·м (при θ = 1°)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Солнечное давление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3 078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Остаточный магнитный момент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38 743 нН·м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Аэродинамика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14,3 нН·м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Доминирующий источник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остаточный магнитный момент. Требует деперманентизации спутника до &lt; 0,5 А·м² или применения магнитных катушек для компенсации.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Гравитационный момент: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T_gg = (3μ/2r³) · |I_z - I_x| · sin(2θ)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Солнечное давление: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T_srp = P_solar · C_R · A_sail · d_arm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38.3  Маховики (Reaction Wheels)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Требуемый угловой импульс для компенсации возмущений за полуорбиту: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H_req = T_dist · (T_orbit/4) ≈ 69 мН·м·с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Выбранный маховик: Bradford WSAT (H = 1,0 Н·м·с, масса 0,8 кг) — обеспечивает запас 14×.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38.4  ISL Point-Ahead Angle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Ka-диапазона ISL (26 ГГц, расстояние 3000 км) требуется угол опережения: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θ_pa = (v_rel/c) ≈ 49 мкрад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(38.136)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Полуширина ДН ISL-антенны: ~17 500 мкрад → запас 357× по мощности луча.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4" name="Picture 9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disturbances_phase4.png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Возмущающие моменты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95" name="Picture 9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pointing_budget_phase4.png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наведения антенны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96" name="Picture 9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cs_isl_pointing_phase4.png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ISL point-ahead angle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39  ОПТИМИЗАЦИЯ СЕТИ НАЗЕМНЫХ СТАНЦИЙ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39.1  Текущая конфигурация МКС (21 станция)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Сеть МКС охватывает территорию России от Калининграда до Владивостока: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Радиус покрытия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одной станции: 2843 км (при угле маски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Покрытие по долготе: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55% (по России и прилежащим территориям)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Геометрический фактор OD: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улучшается по мере расширения сети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39.2  Орбитальное определение (OD) и дуговые наблюдения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Ожидаемое число дуговых наблюдений за 24 ч: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N_arcs = N_station × N_passes/day × (t_pass/T_orbit)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(39.137)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21 станции: ≈ 33 дуговых наблюдения в сутки (достаточно для орбитального определения с точностью &lt; 5 м).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39.3  Расширение сети (8 кандидатов)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Кандидат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Долгота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 зоны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Куба (Гавана)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−82,4°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Атлантика, Мексиканский залив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Бразилия (Ресифе)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−35,0°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ЮАР (Йоханнесбург)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−26,2°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Австралия (Дарвин)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−12,5°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130,9°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Тихий океан юж.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Индия (Ченнаи)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Индийский океан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Вьетнам (Хо Ши Мин)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106,7°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Южно-Китайское море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Аргентина (Ушуайя)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−53,1°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−68,3°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Южная Атлантика, Антарктика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ДР Конго (Киншаса)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−4,3°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15,3°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Центральная Африка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Добавление 8 станций увеличивает покрытие с 55% до 82%.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39.4  Требования к линии связи МКС–спутник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Дальность командной линии: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3000 км (при угле 5°)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Полоса загрузки навигационного сообщения: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1,2 Мбит/с на спутник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Задержка: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&lt; 10 мс (суммарная от МКС до бортового ПО)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7" name="Picture 9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network_map_phase4.png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сети наземных станций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98" name="Picture 9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od_quality_phase4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Качество OD vs расширение сети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99" name="Picture 9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und_arcs_phase4.png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99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Дуговые наблюдения vs число станций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40  ПОДДЕРЖАНИЕ ОРБИТЫ (STATION KEEPING)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40.1  Прецессия RAAN из-за J2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Второй зональный гармоник геопотенциала (</w:t>
      </w:r>
      <w:r>
        <w:rPr>
          <w:rFonts w:ascii="Courier New" w:hAnsi="Courier New"/>
          <w:b w:val="0"/>
          <w:i w:val="0"/>
          <w:color w:val="000000"/>
          <w:sz w:val="28"/>
        </w:rPr>
        <w:t>J_2 = 1,0826 × 10⁻³</w:t>
      </w:r>
      <w:r>
        <w:rPr>
          <w:rFonts w:ascii="Times New Roman" w:hAnsi="Times New Roman"/>
          <w:b w:val="0"/>
          <w:i w:val="0"/>
          <w:color w:val="000000"/>
          <w:sz w:val="28"/>
        </w:rPr>
        <w:t>) вызывает систематический дрейф RAAN: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-(3/2) · n · J_2 · ((R_E/a))² · (cos i/(1-e²)²)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(40.138)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АВРОРА (a = 7371 км, i = 75°, e ≈ 0):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 = -1,5508 °/сут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(40.139)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Важно: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созвездии Walker Delta все плоскости дрейфуют с одной скоростью (одинаковое </w:t>
      </w:r>
      <w:r>
        <w:rPr>
          <w:rFonts w:ascii="Courier New" w:hAnsi="Courier New"/>
          <w:b w:val="0"/>
          <w:i w:val="0"/>
          <w:color w:val="000000"/>
          <w:sz w:val="28"/>
        </w:rPr>
        <w:t>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i</w:t>
      </w:r>
      <w:r>
        <w:rPr>
          <w:rFonts w:ascii="Times New Roman" w:hAnsi="Times New Roman"/>
          <w:b w:val="0"/>
          <w:i w:val="0"/>
          <w:color w:val="000000"/>
          <w:sz w:val="28"/>
        </w:rPr>
        <w:t>), поэтому относительная геометрия созвездия сохраняется без коррекции. Абсолютный дрейф RAAN является номинальным параметром миссии.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40.2  Атмосферное торможение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высоте 1000 км плотность атмосферы (NRLMSISE-00) составляет: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Солнечная активность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ρ (кг/м³)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Минимум (F10.7 = 70)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 (F10.7 = 150)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3×10⁻¹⁵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Максимум (F10.7 = 250)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10⁻¹⁴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Высотный дрейф за год при средней активности: </w:t>
      </w:r>
      <w:r>
        <w:rPr>
          <w:rFonts w:ascii="Times New Roman" w:hAnsi="Times New Roman"/>
          <w:b/>
          <w:i w:val="0"/>
          <w:color w:val="000000"/>
          <w:sz w:val="28"/>
        </w:rPr>
        <w:t>0,1 м/год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пренебрежимо мало.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сравнения: ISS (400 км) — 2000 м/год; Starlink (550 км) — 10 м/год.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40.3  Бюджет ΔV за 7 лет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Компенсация торможения (средняя солн. акт.)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Коррекция дифференциального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Де-орбита в конце миссии (Хоманн, перицентр 600 км)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141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Масса топлива (монотопливо, Isp = 220 с): </w:t>
      </w:r>
      <w:r>
        <w:rPr>
          <w:rFonts w:ascii="Times New Roman" w:hAnsi="Times New Roman"/>
          <w:b/>
          <w:i w:val="0"/>
          <w:color w:val="000000"/>
          <w:sz w:val="28"/>
        </w:rPr>
        <w:t>≈ 9 кг/спутник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</w:t>
      </w:r>
      <w:r>
        <w:rPr>
          <w:rFonts w:ascii="Courier New" w:hAnsi="Courier New"/>
          <w:b w:val="0"/>
          <w:i w:val="0"/>
          <w:color w:val="000000"/>
          <w:sz w:val="28"/>
        </w:rPr>
        <w:t>Δ V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141 м/с, </w:t>
      </w:r>
      <w:r>
        <w:rPr>
          <w:rFonts w:ascii="Courier New" w:hAnsi="Courier New"/>
          <w:b w:val="0"/>
          <w:i w:val="0"/>
          <w:color w:val="000000"/>
          <w:sz w:val="28"/>
        </w:rPr>
        <w:t>m_wet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140 кг).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40.4  Стратегия поддержания Walker Delta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Фазовые коррекции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выполняются раз в 90 дней (ΔV ≈ 3 м/с суммарно за 7 лет)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Плоскостные манёвры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не требуются — J2-дрейф одинаков для всех плоскостей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Де-орбита: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тормозной манёвр ΔV ≈ 120 м/с переводит перицентр на ~600 км, откуда естественный сход орбиты происходит за &lt; 25 лет (выполнение требований IADC; 7,4 м/с недостаточно — с 1000 км остаточное время жизни &gt;250 лет)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Время орбитального распада без тормозного манёвра на 1000 км: </w:t>
      </w:r>
      <w:r>
        <w:rPr>
          <w:rFonts w:ascii="Times New Roman" w:hAnsi="Times New Roman"/>
          <w:b/>
          <w:i w:val="0"/>
          <w:color w:val="000000"/>
          <w:sz w:val="28"/>
        </w:rPr>
        <w:t>250–400 лет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(нарушение IADC). Требуется активная де-орбита.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100" name="Picture 10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alt_decay_phase4.png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Высотный дрейф без коррекции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01" name="Picture 1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raan_drift_phase4.png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Прецессия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95600"/>
            <wp:docPr id="102" name="Picture 1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dv_budget_phase4.png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474720"/>
            <wp:docPr id="103" name="Picture 1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k_manoeuvre_schedule_phase4.png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474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Расписание манёвров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41  СРАВНЕНИЕ АВРОРА С АНАЛОГАМИ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41.1  Традиционные MEO GNSS: ГЛОНАСС, GPS, Galileo, BeiDou-3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41.1.1  ГЛОНАСС — детальное сравнение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ГЛОНАСС является ближайшим российским прототипом для сравнения с АВРОРА. Ключевые различия: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Выигрыш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км, MEO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LEO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Наклонение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64,8°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75,0°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(+10° → лучше Арктика)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(в 12,5× больше)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6–8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(7–22 по широте)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(≈2× в среднем, до 3× в высоких широтах)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L1OF/L2OF FDMA + L1OC/L2OC/L3OC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CDMA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Galileo-совместимость 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паритет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dual-freq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 чуть лучше (per-sat)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L1-only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(комбинир. LEO+ГЛОНАСС)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1,67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(геометрия)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(≈15×)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 (Сервис Б)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~−130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Б (+23 дБ, ×200); Сервис А −119 дБм (+11 дБ)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нс (цель)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(2×)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Особенность ГЛОНАСС: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наклонение 64,8° обеспечивает лучшее покрытие арктических широт, чем GPS (55°). АВРОРА с наклонением 75° превосходит и ГЛОНАСС в этом аспекте.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FDMA vs CDMA: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сигналы ГЛОНАСС-K2 переходят на CDMA (L1OC, L2OC, L3OC), однако наследие FDMA создаёт сложности в производстве приёмников и ограничивает возможности многосистемной обработки. АВРОРА использует исключительно CDMA, совместимое с GPS L5 и Galileo E5a.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Синхронизация: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ГЛОНАСС-K2 достигает точности шкалы времени ~10 нс относительно UTC(SU); АВРОРА с бортовым CSAC и ISL-синхронизацией нацелен на </w:t>
      </w:r>
      <w:r>
        <w:rPr>
          <w:rFonts w:ascii="Times New Roman" w:hAnsi="Times New Roman"/>
          <w:b/>
          <w:i w:val="0"/>
          <w:color w:val="000000"/>
          <w:sz w:val="28"/>
        </w:rPr>
        <w:t>5 нс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 2× лучше.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41.1.2  Общая таблица MEO GNSS vs АВРОРА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20 200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19 100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23 222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21 528 км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1 000 км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 КА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N_vis (среднее)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0,45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UERE dual (м)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0,461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0,70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PDOP p95 (авт. / комбинир.)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5,0 / 1,67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(мин)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&lt; 1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OSNMA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Вр. точность (нс)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IOC год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 ($B)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~2,8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по точности одной псевдодальности АВРОРА сопоставима с MEO GNSS (несколько уступая GPS/Galileo), а в автономном режиме её геометрия (PDOP p95 ≈ 5) даже хуже из-за специфики LEO. Реальные преимущества АВРОРА — в </w:t>
      </w:r>
      <w:r>
        <w:rPr>
          <w:rFonts w:ascii="Times New Roman" w:hAnsi="Times New Roman"/>
          <w:b/>
          <w:i w:val="0"/>
          <w:color w:val="000000"/>
          <w:sz w:val="28"/>
        </w:rPr>
        <w:t>комбинированном режиме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(LEO+ГЛОНАСС → PDOP 1,67, CEP ≈ 1 м, PPP-сходимость 1–3 мин), </w:t>
      </w:r>
      <w:r>
        <w:rPr>
          <w:rFonts w:ascii="Times New Roman" w:hAnsi="Times New Roman"/>
          <w:b/>
          <w:i w:val="0"/>
          <w:color w:val="000000"/>
          <w:sz w:val="28"/>
        </w:rPr>
        <w:t>мощности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(+23 дБ: помехозащита и работа в помещениях), </w:t>
      </w:r>
      <w:r>
        <w:rPr>
          <w:rFonts w:ascii="Times New Roman" w:hAnsi="Times New Roman"/>
          <w:b/>
          <w:i w:val="0"/>
          <w:color w:val="000000"/>
          <w:sz w:val="28"/>
        </w:rPr>
        <w:t>арктическом покрытии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(75°) и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(TESLA MAC). АВРОРА позиционируется как суверенное LEO-усиление ГЛОНАСС, а не самостоятельная замена MEO.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41.2  Строящиеся и перспективные LEO PNT системы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41.2.1  Xona Space Systems PULSAR (США)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коммерческая компания, летала на демо-спутнике (2022–2023), FOC ≈ 2030.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700 км, i = 60°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Число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 (GPS-совместимые)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L1, 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URE (оценка)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 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PPP сходимость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 с (заявлено)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1–3 мин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NMA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Арктики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Хуже (i = 60°)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Лучше (i = 75°)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Зависимость от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 (полная автономия)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РФ (Роскосмос МКС)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отличие: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Xona сфокусирован на рынке США и союзников, АВРОРА — на суверенном российском сегменте и арктических регионах. Наклонение 75° у АВРОРА даёт существенное преимущество над Арктикой.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41.2.2  Satelles STL (США, на базе Iridium)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операционный с 2016 г. Использует 66 спутников Iridium NEXT как «подводящую» платформу.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69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км, i = 86,4°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1 000 км, i = 75°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L-band (~1626 МГц, Iridium)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позиции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50–100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 (PPP)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Временна́я точность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 нс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сигнала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 (помехозащита)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+23 дБ vs ГЛОНАСС (MEO)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GPS/Galileo-совместимый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Позиционирование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совместно с INS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Автономное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Timing + indoor backup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навигация + timing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Satelles STL является </w:t>
      </w:r>
      <w:r>
        <w:rPr>
          <w:rFonts w:ascii="Times New Roman" w:hAnsi="Times New Roman"/>
          <w:b/>
          <w:i w:val="0"/>
          <w:color w:val="000000"/>
          <w:sz w:val="28"/>
        </w:rPr>
        <w:t>дополнением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а не заменой GNSS — используется для резервирования по времени в закрытых помещениях. АВРОРА обеспечивает </w:t>
      </w:r>
      <w:r>
        <w:rPr>
          <w:rFonts w:ascii="Times New Roman" w:hAnsi="Times New Roman"/>
          <w:b/>
          <w:i w:val="0"/>
          <w:color w:val="000000"/>
          <w:sz w:val="28"/>
        </w:rPr>
        <w:t>полный навигационный сервис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41.2.3  ESA Moonlight / Galileo 2nd Generation LEO (ЕС)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фаза A (технические исследования), цель — 6–12 LEO-спутников как дополнение к Galileo.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Основная цель: ускорение PPP-сходимости для авиации (с 20 до 5 мин)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 является независимой навигационной системой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АВРОРА vs Moonlight: АВРОРА — суверенная российская система с 300 КА; Moonlight — европейская надстройка над MEO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41.2.4  BeiDou-3 LEO augmentation (КНР)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экспериментальные спутники запущены в 2023 г.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12 КА на 1000 км, наклонение 55° — меньший охват Арктики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PPP сходимость ~5 мин (с 12 LEO + BDS-3 MEO)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АВРОРА: в 5× больше КА, в 5× лучше сходимость, лучший охват Арктики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41.2.5  SpaceX Starlink (потенциальный LEO PNT)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FCC заявка 2020 г. на использование частот для PNT, публичных сигналов нет.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5000+ спутников на 550 км — кратно более плотная сеть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Потенциально мгновенная PPP-сходимость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Критические ограничения: нет публичного ICD, нет аутентификации, US jurisdiction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Неприемлем для суверенной российской навигации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41.3  Сводная позиционная матрица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Сходимость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Арктика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Аутентификация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Суверенитет</w:t>
            </w:r>
          </w:p>
        </w:tc>
        <w:tc>
          <w:tcPr>
            <w:tcW w:type="dxa" w:w="1336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Block III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ГЛОНАСС-K2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FOC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BeiDou-3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Демо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Satelles STL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BDS LEO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●●●○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●●○○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○○○○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КНР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Экспер.</w:t>
            </w:r>
          </w:p>
        </w:tc>
      </w:tr>
      <w:tr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●●●●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РФ</w:t>
            </w:r>
          </w:p>
        </w:tc>
        <w:tc>
          <w:tcPr>
            <w:tcW w:type="dxa" w:w="1336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Уникальная позиция АВРОРА: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единственная суверенная российская LEO PNT система, сочетающая: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Российское наклонение (75°) — максимальное покрытие Арктики и территории РФ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Полную совместимость с приёмниками GPS/Galileo (L1, L5 CDMA)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Открытую аутентификацию (TESLA MAC)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Конкурентоспособный бюджет (</w:t>
      </w:r>
      <w:r>
        <w:rPr>
          <w:rFonts w:ascii="Courier New" w:hAnsi="Courier New"/>
          <w:b w:val="0"/>
          <w:i w:val="0"/>
          <w:color w:val="000000"/>
          <w:sz w:val="28"/>
        </w:rPr>
        <w:t>2,8B vs</w:t>
      </w:r>
      <w:r>
        <w:rPr>
          <w:rFonts w:ascii="Times New Roman" w:hAnsi="Times New Roman"/>
          <w:b w:val="0"/>
          <w:i w:val="0"/>
          <w:color w:val="000000"/>
          <w:sz w:val="28"/>
        </w:rPr>
        <w:t>10B Galileo)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04" name="Picture 1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constellation_scatter_phase4.png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Позиционирование на рынке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5212080"/>
            <wp:docPr id="105" name="Picture 1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spider_phase4.png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212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Spider-диаграмма сравнения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06" name="Picture 1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ure_all_phase4.png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URE/UERE: все системы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7" name="Picture 1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ppp_convergence_phase4.png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PPP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08" name="Picture 1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timeline_phase4.png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Временна́я шкала LEO PNT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80285"/>
            <wp:docPr id="109" name="Picture 1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_aurora_vs_glonass_phase4.png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802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109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АВРОРА vs ГЛОНАСС детально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42  ПОЛЬЗОВАТЕЛЬСКИЙ ПРИЁМНИК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42.1  Характеристики Доплера для LEO-орбиты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Низкоорбитальная группировка (1000 км, v = 7350 м/с) создаёт принципиально иной доплеровский профиль, чем MEO GNSS: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(v_orb/c) · f_0 = (7350/3 × 10⁸) × 1,575 × 10⁹ ≈ ± 38,6 кГц (L1)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(42.140)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f_D,max = (v_orb² / r_orb/c) · f_0 ≈ 38,6 Гц/с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(42.141)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GPS (MEO)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(LEO)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Отношение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Максимальный Доплер L1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±4,9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±38,6 кГц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7,9×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Скорость изменения Доплера (Гц/с)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~0,9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38,6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Мин. полоса PLL (3-й порядок)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1,4 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2,8×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пролёта над горизонтом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~11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Минимальная полоса PLL третьего порядка по критерию Доплер-рейт: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ω_n = (3 f_D · 2π)¹/³ ≈ 8,8 рад/с, BW_PLL = (ω_n/2π) ≈ 1,4 Гц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(42.142)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42.2  Требования к числу каналов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FOC 300 КА среднее число одновременно видимых спутников (маска 10°, согласовано с §5.1 и §46):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N_vis = 300 · f_cov = 300·(1-cosρ_max/2) ≈ 300×0,0355 ≈ 11 (в среднем; до ≈22 на широтах≈ i)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(42.143)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где </w:t>
      </w:r>
      <w:r>
        <w:rPr>
          <w:rFonts w:ascii="Courier New" w:hAnsi="Courier New"/>
          <w:b w:val="0"/>
          <w:i w:val="0"/>
          <w:color w:val="000000"/>
          <w:sz w:val="28"/>
        </w:rPr>
        <w:t>ρ_max≈21,7°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максимальный центральный угол зоны видимости (см. §5.1).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L1+L5 режима при пиковой видимости (≈22 КА): </w:t>
      </w:r>
      <w:r>
        <w:rPr>
          <w:rFonts w:ascii="Times New Roman" w:hAnsi="Times New Roman"/>
          <w:b/>
          <w:i w:val="0"/>
          <w:color w:val="000000"/>
          <w:sz w:val="28"/>
        </w:rPr>
        <w:t>≈44 канала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активного слежения + резерв поиска; геодезический класс — </w:t>
      </w:r>
      <w:r>
        <w:rPr>
          <w:rFonts w:ascii="Times New Roman" w:hAnsi="Times New Roman"/>
          <w:b/>
          <w:i w:val="0"/>
          <w:color w:val="000000"/>
          <w:sz w:val="28"/>
        </w:rPr>
        <w:t>256 каналов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итого (см. таблицу ниже).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приёмника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Каналов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BW PLL (Гц)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порог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Чувств. захвата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Геодезический /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−145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Авиационный (DO-229)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−140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Автомобильный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32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−138 дБм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Носимый (смартфон)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35 дБ·Гц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−130 дБм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861457"/>
            <wp:docPr id="110" name="Picture 1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doppler_phase4.png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861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Доплеровский профиль АВРОРА vs MEO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1" name="Picture 1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hannels_phase4.png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Необходимое число каналов по фазам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2" name="Picture 1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pll_noise_phase4.png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Шум PLL и BW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13" name="Picture 1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_classes_phase4.png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Классы приёмников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42.3  Программный прототип приёмника (SDR)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Реализован софт-приёмник </w:t>
      </w:r>
      <w:r>
        <w:rPr>
          <w:rFonts w:ascii="Courier New" w:hAnsi="Courier New"/>
          <w:b w:val="0"/>
          <w:i w:val="0"/>
          <w:color w:val="7B0000"/>
          <w:sz w:val="22"/>
        </w:rPr>
        <w:t>aurora.pnt.sdr_receiver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валидации цепочки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сигнал → корреляция → слежение → TTFF</w:t>
      </w:r>
      <w:r>
        <w:rPr>
          <w:rFonts w:ascii="Times New Roman" w:hAnsi="Times New Roman"/>
          <w:b w:val="0"/>
          <w:i w:val="0"/>
          <w:color w:val="000000"/>
          <w:sz w:val="28"/>
        </w:rPr>
        <w:t>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Конфигурация прототипа: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Промежуточная частота 4 МГц, частота дискретизации 16,368 МГц (16× chip rate)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Длительность сигнала: захват 1 мс, слежение 10 мс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Модель шума: AWGN на уровне C/N₀ = 30–55 дБ-Гц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Доплер +25 кГц с зенитной скоростью изменения 38,5 Гц/с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Цепочка обработки: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Захват (Acquisition):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2D FFT-корреляция (Sutton 1997) по фазе кода × Доплер,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шаг по Доплеру 500 Гц, диапазон ±50 кГц. Метрика PSR (Peak-to-Sidelobe Ratio).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Слежение (Tracking):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Costas PLL с </w:t>
      </w:r>
      <w:r>
        <w:rPr>
          <w:rFonts w:ascii="Courier New" w:hAnsi="Courier New"/>
          <w:b w:val="0"/>
          <w:i w:val="0"/>
          <w:color w:val="000000"/>
          <w:sz w:val="28"/>
        </w:rPr>
        <w:t>BW = 1,4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 + EML DLL с </w:t>
      </w:r>
      <w:r>
        <w:rPr>
          <w:rFonts w:ascii="Courier New" w:hAnsi="Courier New"/>
          <w:b w:val="0"/>
          <w:i w:val="0"/>
          <w:color w:val="000000"/>
          <w:sz w:val="28"/>
        </w:rPr>
        <w:t>BW = 0,5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Гц,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spacing 0,5 чипа. Discriminators: ATAN2 для пилота, dot-prod для данных.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Метрики: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TTFF медиана и стандартное отклонение по 5 прогонам.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Численные результаты (бюджет АВРОРА C/N₀ = 52,6 дБ-Гц):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C/N₀ (дБ-Гц)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TTFF медиана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PSR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Успех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52,6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3,8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11,4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Cold start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10,2 с (порог)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Соответствие требованиям §7.4 техпроекта: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TTFF cold ≤ 30 с (FUN-05 SRD) — </w:t>
      </w:r>
      <w:r>
        <w:rPr>
          <w:rFonts w:ascii="Times New Roman" w:hAnsi="Times New Roman"/>
          <w:b/>
          <w:i w:val="0"/>
          <w:color w:val="000000"/>
          <w:sz w:val="28"/>
        </w:rPr>
        <w:t>выполнено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(3,8 с на номинальном C/N₀)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BW PLL 1,4 Гц — </w:t>
      </w:r>
      <w:r>
        <w:rPr>
          <w:rFonts w:ascii="Times New Roman" w:hAnsi="Times New Roman"/>
          <w:b/>
          <w:i w:val="0"/>
          <w:color w:val="000000"/>
          <w:sz w:val="28"/>
        </w:rPr>
        <w:t>реализовано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прототипом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CLI: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</w:t>
      </w:r>
      <w:r>
        <w:rPr>
          <w:rFonts w:ascii="Courier New" w:hAnsi="Courier New"/>
          <w:b w:val="0"/>
          <w:i w:val="0"/>
          <w:color w:val="7B0000"/>
          <w:sz w:val="22"/>
        </w:rPr>
        <w:t>aurora-pnt sdr-receiver -l phase5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14" name="Picture 1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acquisition_3d_phase5.png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2D корреляц. функция захвата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15" name="Picture 1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racking_loops_phase5.png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Выходы PLL/DLL за 10 мс слежения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16" name="Picture 1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ttff_vs_cn0_phase5.png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TTFF vs C/N₀ (cold start)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17" name="Picture 1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dr_eye_diagram_phase5.png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Eye-диаграмма после слежения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43  КООРДИНАЦИЯ ЧАСТОТ МСЭ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43.1  Занимаемые полосы (ITU-R M.1787)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Сигналы АВРОРА L1 и L5 целиком размещены в защищённых RNSS-полосах: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Центральная частота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Ширина полосы (null-to-null)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RNSS-полоса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Data (BOC-1,1)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8,184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 Pilot (TMBOC-6,1,4/33)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1575,42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24,552 МГц (осн. мощн. в ±10,23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1559–1610 МГц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L5 Data+Pilot (BPSK-10)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1176,45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20,46 МГц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1164–1215 МГц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43.2  Коэффициент спектрального разделения (SSC)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SSC = ∫_-B/2B/² G_1(f) G_2(f) df [дБ/Гц]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(43.144)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Результаты расчёта по нормированным PSD (полоса 30 МГц):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 сигналов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SSC (дБ/Гц)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Интерпретация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GPS L1 C/A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Низкое взаимное влияние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GPS L1C pilot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Схожая модуляция TMBOC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L1 ↔ Galileo E1 OS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−61,7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BOC vs TMBOC хорошо разнесены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L5 ↔ GPS 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Одинаковый BPSK(10) — полное перекрытие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L5 ↔ Galileo E5a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−71,2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Аналогично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Значения SSC для L1 АВРОРА соответствуют уровню GPS L1C/Galileo E1 OS (ITU-R координация подтверждает совместимость). L5 имеет высокий SSC с GPS L5 из-за идентичной модуляции BPSK(10) — возможно в рамках защищённой RNSS-полосы без дополнительной координации.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43.3  Маска внеполосных излучений (OOB)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Нормированная PSD TMBOC(6,1,4/33) на L1 остаётся ниже предела ITU-R M.1787 (−60 дБ относительно пика) за пределами ±10,23 МГц. Внеполосная энергия подавлена фильтром SRRC (roll-off 0,2).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18" name="Picture 1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psd_phase4.png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PSD сигналов L1/L5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19" name="Picture 1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ssc_matrix_phase4.png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119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SSC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978331"/>
            <wp:docPr id="120" name="Picture 1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band_plan_phase4.png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9783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Частотный план RNSS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21" name="Picture 1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u_oob_mask_phase4.png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Маска OOB АВРОРА L1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43.4  Регуляторный путь РФ: ГКРЧ и МСЭ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43.4.1  Правовая база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Регистрация АВРОРА как российской системы спутниковой навигации требует прохождения двух параллельных процедур: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Орган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Правовая основа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ГКРЧ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Выделение полос частот и разрешение на использование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ФЗ-126 «О связи» ст. 24–25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Роскомнадзор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Присвоение частот, регистрация РЭС космического сегмента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Постановление Правительства РФ № 785 от 22.12.2006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Роскосмос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как оператора космической деятельности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ФЗ-5663-I «О космической деятельности»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МСЭ (через РКН)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Международная координация и регистрация в MIFR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МСЭ, ст. 9, 11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43.4.2  Процедура ГКРЧ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1 — Заявка на выделение полос частот: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Подаётся в ГКРЧ через Роскомнадзор с техническим обоснованием, включающим: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Технические параметры РЭС (мощность, модуляция, орбита)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Расчёт ЭМС с действующими системами (ГЛОНАСС, GPS в зоне России)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Обоснование необходимости использования RNSS-полос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Срок рассмотрения: </w:t>
      </w:r>
      <w:r>
        <w:rPr>
          <w:rFonts w:ascii="Times New Roman" w:hAnsi="Times New Roman"/>
          <w:b/>
          <w:i w:val="0"/>
          <w:color w:val="000000"/>
          <w:sz w:val="28"/>
        </w:rPr>
        <w:t>12–18 месяцев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Шаг 2 — Решение ГКРЧ: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Специфичное для АВРОРА содержание решения: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Выделить для системы АВРОРА полосы частот:</w:t>
        <w:br/>
        <w:t xml:space="preserve">  • 1559–1610 МГц (L1, RNSS, передача из КА)</w:t>
        <w:br/>
        <w:t xml:space="preserve">  • 1164–1215 МГц (L5, RNSS, передача из КА)</w:t>
        <w:br/>
        <w:t>Параметры передатчика: P_tx = 5 Вт (L1), 3 Вт (L5)</w:t>
        <w:br/>
        <w:t>Модуляция: BOC(1,1)/TMBOC(6,1,4/33), BPSK(10)</w:t>
        <w:br/>
        <w:t>Орбита: h = 1000 км, i = 75°, N = 300 КА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Критический вопрос: поток мощности сигнала (PFD)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ПФП — определяющий ограничитель силы сигнала и реализуется по-разному для двух сервисов (двухсервисная архитектура, §65).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А (открытый, RNSS-полоса).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+9 дБВт (5 Вт + 3,5 дБи). Поток мощности у поверхности Земли: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PFD_А = EIRP - 10log(4π R²) = 9 - 131 = -122 дБВт/м²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(43.145)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Порог ITU-R, ст. 21 / S.1340 для защиты RNSS (полоса 4 МГц): −121,5 дБВт/м². Сервис А остаётся </w:t>
      </w:r>
      <w:r>
        <w:rPr>
          <w:rFonts w:ascii="Times New Roman" w:hAnsi="Times New Roman"/>
          <w:b/>
          <w:i w:val="0"/>
          <w:color w:val="000000"/>
          <w:sz w:val="28"/>
        </w:rPr>
        <w:t>ниже порога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~0,5 дБ. Для сравнения: PFD GPS Block III ≈ −128 дБВт/м² (EIRP ≈ +30 дБВт, R = 20 200 км). Именно эта маска ограничивает преимущество открытого сервиса значением </w:t>
      </w:r>
      <w:r>
        <w:rPr>
          <w:rFonts w:ascii="Times New Roman" w:hAnsi="Times New Roman"/>
          <w:b/>
          <w:i w:val="0"/>
          <w:color w:val="000000"/>
          <w:sz w:val="28"/>
        </w:rPr>
        <w:t>≈ +11 дБ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выше неё в общей с GPS/ГЛОНАСС полосе подниматься нельзя.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Сервис Б (защищённый, выделенная полоса АВРОРА).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EIRP ≈ +21,3 дБВт (30 Вт + 8 дБи), ПФП ≈ −110 дБВт/м². В собственной полосе с первичным статусом (модель Xona/Iridium STL) эта ПФП допустима и даёт </w:t>
      </w:r>
      <w:r>
        <w:rPr>
          <w:rFonts w:ascii="Times New Roman" w:hAnsi="Times New Roman"/>
          <w:b/>
          <w:i w:val="0"/>
          <w:color w:val="000000"/>
          <w:sz w:val="28"/>
        </w:rPr>
        <w:t>+23 дБ (×200)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без снижения орбиты. Требует выделения национального частотного ресурса и координации ГКРЧ/МСЭ; не накладывается на защищённые сигналы GPS/ГЛОНАСС/Galileo и потому не нарушает их защиту. Официальный расчёт EPFD по обоим сервисам — в материалах ГКРЧ.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43.4.3  Процедура координации МСЭ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ВРЕМЕННА́Я ОСЬ КООРДИНАЦИИ МСЭ (ст. 9, 11 РР МСЭ)            │</w:t>
        <w:br/>
        <w:t>│                                                                 │</w:t>
        <w:br/>
        <w:t>│  T−7 лет   T−2 года    T−0         T+30 дней   T+7 лет        │</w:t>
        <w:br/>
        <w:t>│     │           │         │              │           │          │</w:t>
        <w:br/>
        <w:t>│  ┌──▼───┐   ┌───▼──┐  ┌──▼───┐   ┌──────▼─┐  ┌─────▼──┐      │</w:t>
        <w:br/>
        <w:t>│  │ API  │→  │  CR  │→ │Запуск│→  │  Notif │→ │  MIFR  │      │</w:t>
        <w:br/>
        <w:t>│  │ Advance│  │Coord.│  │      │   │ (§11)  │  │регистр.│      │</w:t>
        <w:br/>
        <w:t>│  │ Publ.│  │Request│  │      │   │        │  │        │      │</w:t>
        <w:br/>
        <w:t>│  └──────┘  └───────┘  └──────┘   └────────┘  └────────┘      │</w:t>
        <w:br/>
        <w:t>│                                                                 │</w:t>
        <w:br/>
        <w:t>│  API (Advance Publication Information) — обязательно           │</w:t>
        <w:br/>
        <w:t>│    за 2–9 лет до запуска первого КА                            │</w:t>
        <w:br/>
        <w:t>│  CR (Coordination Request) — запрос к аффектированным АЭ:     │</w:t>
        <w:br/>
        <w:t>│    США, ЕС, Китай, Япония, Индия, Великобритания              │</w:t>
        <w:br/>
        <w:t>└─────────────────────────────────────────────────────────────────┘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МСЭ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Критерий завершения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BR IFIC публикация, Приложение 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Отсутствие возражений в 4 мес.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Координация (CR)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Двусторонние соглашения с аффектир. АЭ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Письменное согласие или расчёт EPFD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Форма Приложения 4 (Post-launch)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Регистрация в MIFR ≤ 30 дней после запуска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43.4.4  Сравнение с прецедентами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АЭ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координации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Результат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ГЛОНАСС-К L1 CDMA (1575,42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2009–2018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 с GPS/Galileo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OneWeb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Великобритания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2014–2020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лет, условное согласование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Starlink (NGSO)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США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2016–2021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лет, частичное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(RNSS, LEO)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Россия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Оценка: 3–5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Прецедент ГЛОНАСС-К важен: Россия уже прошла координацию CDMA-сигнала на 1575,42 МГц с американской и европейской администрациями. АВРОРА использует ту же частоту с аналогичной модуляцией — это </w:t>
      </w:r>
      <w:r>
        <w:rPr>
          <w:rFonts w:ascii="Times New Roman" w:hAnsi="Times New Roman"/>
          <w:b/>
          <w:i w:val="0"/>
          <w:color w:val="000000"/>
          <w:sz w:val="28"/>
        </w:rPr>
        <w:t>существенно упрощает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аргументацию.</w:t>
      </w:r>
    </w:p>
    <w:p>
      <w:pPr>
        <w:pStyle w:val="Heading3"/>
        <w:keepNext/>
        <w:spacing w:lineRule="auto" w:line="240" w:before="200" w:after="80"/>
        <w:ind w:firstLine="709"/>
        <w:jc w:val="left"/>
      </w:pPr>
      <w:r>
        <w:rPr>
          <w:rFonts w:ascii="Times New Roman" w:hAnsi="Times New Roman"/>
          <w:b/>
          <w:i/>
          <w:color w:val="000000"/>
          <w:sz w:val="28"/>
        </w:rPr>
        <w:t>43.4.5  План регуляторных действий по фазам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79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Регуляторное действие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Подготовка и подача заявки в ГКРЧ; начало API в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 Q3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предварительного решения ГКРЧ (экспериментальное РЭС)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Получение основного Решения ГКРЧ; CR к США/ЕС/КНР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2028–2029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Завершение двусторонней координации МСЭ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Нотификация запущенных КА в MIFR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2031+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Полная регистрация группировки 300 КА в MIFR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80" w:after="80"/>
        <w:ind w:firstLine="0" w:left="850" w:right="850"/>
        <w:jc w:val="both"/>
      </w:pPr>
      <w:r>
        <w:rPr>
          <w:rFonts w:ascii="Times New Roman" w:hAnsi="Times New Roman"/>
          <w:b/>
          <w:i/>
          <w:color w:val="555555"/>
          <w:sz w:val="28"/>
        </w:rPr>
        <w:t>Критический путь: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API в МСЭ должен быть подан </w:t>
      </w:r>
      <w:r>
        <w:rPr>
          <w:rFonts w:ascii="Times New Roman" w:hAnsi="Times New Roman"/>
          <w:b/>
          <w:i/>
          <w:color w:val="555555"/>
          <w:sz w:val="28"/>
        </w:rPr>
        <w:t>не позднее 2026 года</w:t>
      </w:r>
      <w:r>
        <w:rPr>
          <w:rFonts w:ascii="Times New Roman" w:hAnsi="Times New Roman"/>
          <w:b w:val="0"/>
          <w:i/>
          <w:color w:val="555555"/>
          <w:sz w:val="28"/>
        </w:rPr>
        <w:t xml:space="preserve"> (за 7 лет до планируемого FOC в ~2033), иначе возникает риск оспаривания приоритета частот другими администрациями.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44  PPP-RTK АРХИТЕКТУРА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44.1  Концепция PPP-RTK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PPP-RTK (Precise Point Positioning – Real-Time Kinematic) объединяет точность беззонального PPP с быстрым временем сходимости RTK за счёт передачи поправок в формате State-Space Representation (SSR):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φ_i = r + c(δ t_r - δ t^s) + λ_i N_i - I_i + T + ε_φ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(44.146)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ρ_i = r + c(δ t_r - δ t^s) + I_i + T + ε_ρ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(44.147)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Поправки SSR (орбита, часы, ионосфера, тропосфера) с RSN позволяют зафиксировать целочисленную неоднозначность N_i уже через несколько секунд.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44.2  Сравнение сервисов позиционирования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Точн. (осн.)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Сход.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Мак. база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км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 PPP (классич.)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PPP (HAS)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 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30 мс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3000 км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44.3  Бюджет задержки конец-в-конец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Задержка (мс)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Сигнал АВРОРА → Земля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RSN станции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RSN → Сервер SSR (оптика)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Сервер: расчёт SSR поправок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→ Пользователь (L-диапазон)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Приёмник: обработка и вычисление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70,3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100%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44.4  Сеть опорных станций RSN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Целевой шаг сети RSN для России: </w:t>
      </w:r>
      <w:r>
        <w:rPr>
          <w:rFonts w:ascii="Times New Roman" w:hAnsi="Times New Roman"/>
          <w:b/>
          <w:i w:val="0"/>
          <w:color w:val="000000"/>
          <w:sz w:val="28"/>
        </w:rPr>
        <w:t>300 км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(обеспечивает точность &lt; 1 см на всей территории при dep</w:t>
      </w:r>
      <w:r>
        <w:rPr>
          <w:rFonts w:ascii="Times New Roman" w:hAnsi="Times New Roman"/>
          <w:b w:val="0"/>
          <w:i/>
          <w:color w:val="000000"/>
          <w:sz w:val="28"/>
        </w:rPr>
        <w:t>cm</w:t>
      </w:r>
      <w:r>
        <w:rPr>
          <w:rFonts w:ascii="Times New Roman" w:hAnsi="Times New Roman"/>
          <w:b w:val="0"/>
          <w:i w:val="0"/>
          <w:color w:val="000000"/>
          <w:sz w:val="28"/>
        </w:rPr>
        <w:t>per_km = 0,03 см/км).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Зависимость точности от расстояния до станции: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σ_PPP-RTK(d) = 0,5 см + 0,03 · d [см, d в км]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(44.148)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При d = 300 км: σ = 9,5 см — соответствует задаче точного земледелия и геодезии.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2" name="Picture 1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accuracy_vs_dist_phase4.png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vs расстояние до RSN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606040"/>
            <wp:docPr id="123" name="Picture 1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convergence_phase4.png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Время сходимости — сравнение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24" name="Picture 1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latency_phase4.png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 E2E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32304"/>
            <wp:docPr id="125" name="Picture 1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tk_rsn_map_phase4.png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323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RSN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45  СКВОЗНОЙ БЮДЖЕТ PVT (MONTE-CARLO)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45.1  Модель агрегирования ошибок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ошибка пользователя определяется как корень из суммы квадратов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независимых составляющих (UERE), умноженный на геометрический фактор (DOP):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σ_UERE = √(Σ_i σ_i²), ε_H = HDOP · σ_UERE, ε_V = VDOP · σ_UERE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(45.149)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Номинальная геометрия плотного созвездия АВРОРА (300 КА): HDOP = 1,1,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VDOP = 1,8, PDOP = 2,1. Метод Монте-Карло: N = 10⁴ розыгрышей по каждой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компоненте </w:t>
      </w:r>
      <w:r>
        <w:rPr>
          <w:rFonts w:ascii="Courier New" w:hAnsi="Courier New"/>
          <w:b w:val="0"/>
          <w:i w:val="0"/>
          <w:color w:val="000000"/>
          <w:sz w:val="28"/>
        </w:rPr>
        <w:t>sim mathcalN(0,σ_i)</w:t>
      </w:r>
      <w:r>
        <w:rPr>
          <w:rFonts w:ascii="Times New Roman" w:hAnsi="Times New Roman"/>
          <w:b w:val="0"/>
          <w:i w:val="0"/>
          <w:color w:val="000000"/>
          <w:sz w:val="28"/>
        </w:rPr>
        <w:t>, агрегирование, CEP95 = 2,08·σ_H.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45.2  Бюджет UERE по классам сервиса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Класс сервиса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CEP50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CEP95 (м)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Верт. 95% (м)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PPP-RTK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0,120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0,253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АВРОРА PPP (двухчаст.)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0,214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0,828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Одночастотный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1,078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0,977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2,061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3,806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Доминирующие вклады (PPP-RTK): эфемериды (SISRE) и многолучёвость; 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одночастотном режиме — остаточная ионосфера (Klobuchar ≈ 50%).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26" name="Picture 1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cdf_phase5.png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CDF ошибки PVT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7" name="Picture 1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ere_tornado_phase5.png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Tornado-вклад UERE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8" name="Picture 1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vs_elevation_mask_phase5.png"/>
                    <pic:cNvPicPr/>
                  </pic:nvPicPr>
                  <pic:blipFill>
                    <a:blip r:embed="rId13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CEP95 vs маска возвышения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29" name="Picture 1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vt_error_box_phase5.png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129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ошибки по классам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RTCA DO-229; Kaplan &amp; Hegarty (2017), *Understanding GPS/GNSS*.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46  ВРЕМЕННА́Я ДОСТУПНОСТЬ И DOP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46.1  Метод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Аналитическая модель Walker Delta 300/15 (h = 1000 км, i = 75°, T ≈ 105 мин)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прогоняется 24 ч с шагом 60 с. Для каждой эпохи строится матрица геометрии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(направляющие косинусы + столбец часов), затем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PDOP = √(tr[(H^topH)⁻¹]_xyz), доступность = P(PDOP&lt;6 &amp; N_satge 4)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(46.150)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46.2  Результаты по широтам (маска 10°)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Широта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сред.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PDOP 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N_спутн. сред.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2,28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4,37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8,4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1,48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1,95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16,1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1,15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1,35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19,7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1,79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20,7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Москва (55,75° с.ш.): PDOP сред. 1,46, N_спутн. сред. 16,5 — следствие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наклонения 75° (повышенная плотность созвездия в средних/высоких широтах).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30" name="Picture 1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world_map_phase5.png"/>
                    <pic:cNvPicPr/>
                  </pic:nvPicPr>
                  <pic:blipFill>
                    <a:blip r:embed="rId13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PDOP по миру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1" name="Picture 1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vs_mask_phase5.png"/>
                    <pic:cNvPicPr/>
                  </pic:nvPicPr>
                  <pic:blipFill>
                    <a:blip r:embed="rId14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Доступность vs маска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2" name="Picture 1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p_timeseries_phase5.png"/>
                    <pic:cNvPicPr/>
                  </pic:nvPicPr>
                  <pic:blipFill>
                    <a:blip r:embed="rId14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PDOP за сутки (Москва)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3" name="Picture 1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sat_histogram_phase5.png"/>
                    <pic:cNvPicPr/>
                  </pic:nvPicPr>
                  <pic:blipFill>
                    <a:blip r:embed="rId14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Гистограмма числа спутников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47  ТОЧНОЕ ОПРЕДЕЛЕНИЕ ОРБИТЫ (POD)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47.1  Силовая модель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 = -(μ r/r³) + a_J2..J6 + a_Луна,Солнце + a_SRP + a_торм.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(47.151)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 h = 1000 км доминирует J2 (~10⁻² м/с²); SRP (~6·10⁻⁸) и атмосферное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торможение (~10⁻⁹) малы, но учитываются в редуцированно-динамической модели.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SISRE = </w:t>
      </w:r>
      <w:r>
        <w:rPr>
          <w:rFonts w:ascii="Courier New" w:hAnsi="Courier New"/>
          <w:b w:val="0"/>
          <w:i w:val="0"/>
          <w:color w:val="000000"/>
          <w:sz w:val="28"/>
        </w:rPr>
        <w:t>√((w_Rσ_R)² + (σ_A²+σ_C²)/k + σ_clk²)</w:t>
      </w:r>
      <w:r>
        <w:rPr>
          <w:rFonts w:ascii="Times New Roman" w:hAnsi="Times New Roman"/>
          <w:b w:val="0"/>
          <w:i w:val="0"/>
          <w:color w:val="000000"/>
          <w:sz w:val="28"/>
        </w:rPr>
        <w:t>,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w_R≈0,98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k≈45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для 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47.2  Достижимая точность орбиты (1σ)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Radial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Along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Cross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SISRE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Только сеть (21 ст.)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18,6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+ валидация SLR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5,2 см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Редуцированно-динамич.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 см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8,0 см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Указанные значения — точность </w:t>
      </w:r>
      <w:r>
        <w:rPr>
          <w:rFonts w:ascii="Times New Roman" w:hAnsi="Times New Roman"/>
          <w:b/>
          <w:i w:val="0"/>
          <w:color w:val="000000"/>
          <w:sz w:val="28"/>
        </w:rPr>
        <w:t>определённой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(постобработанной) орбиты. В навигационное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сообщение транслируются </w:t>
      </w:r>
      <w:r>
        <w:rPr>
          <w:rFonts w:ascii="Times New Roman" w:hAnsi="Times New Roman"/>
          <w:b/>
          <w:i w:val="0"/>
          <w:color w:val="000000"/>
          <w:sz w:val="28"/>
        </w:rPr>
        <w:t>прогнозируемые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эфемериды с дополнительной ошибкой прогноза на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интервал обновления; их SISRE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≈ 0,3–0,45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входит в бюджет UERE (§37.3, §8.6),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где орбита — доминирующая составляющая. Благодаря частым обновлениям (короткие LEO-проходы над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наземной сетью) и ISL-измерениям прогнозный интервал мал, что удерживает транслируемый SISRE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 нижней границы диапазона — это резерв снижения UERE с ~0,7 до ~0,6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4" name="Picture 1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force_budget_phase5.png"/>
                    <pic:cNvPicPr/>
                  </pic:nvPicPr>
                  <pic:blipFill>
                    <a:blip r:embed="rId14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возмущающих ускорений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5" name="Picture 1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accuracy_rac_phase5.png"/>
                    <pic:cNvPicPr/>
                  </pic:nvPicPr>
                  <pic:blipFill>
                    <a:blip r:embed="rId14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Точность R/A/C по сценариям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6" name="Picture 1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slr_residuals_phase5.png"/>
                    <pic:cNvPicPr/>
                  </pic:nvPicPr>
                  <pic:blipFill>
                    <a:blip r:embed="rId14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Остатки валидации SLR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37" name="Picture 1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d_observability_phase5.png"/>
                    <pic:cNvPicPr/>
                  </pic:nvPicPr>
                  <pic:blipFill>
                    <a:blip r:embed="rId14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Наблюдаемость от наземной сети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Montenbruck &amp; Gill (2000), *Satellite Orbits*; IERS Conventions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48  АВТОНОМНАЯ НАВИГАЦИЯ (ISL AUTONAV)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48.1  Принцип и ограничение наблюдаемости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Межспутниковое псевдорасстояние (Ka, 26 ГГц, σ ≈ 5 см):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Δρ_ij = |r_i - r_j| + c Δδ t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(48.152)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Только ISL-измерения оставляют </w:t>
      </w:r>
      <w:r>
        <w:rPr>
          <w:rFonts w:ascii="Times New Roman" w:hAnsi="Times New Roman"/>
          <w:b/>
          <w:i w:val="0"/>
          <w:color w:val="000000"/>
          <w:sz w:val="28"/>
        </w:rPr>
        <w:t>вырождение ранга = 3 степени свободы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(неопределённость жёсткого вращения созвездия как целого). Устраняется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≥ 1 наземным якорем или абсолютной ориентацией. Без наземного контакта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эфемерид растёт линейно: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ε_eph(t) ≈ ε_0 + k· t, ε_0≈0,1м, k≈1,0м/сут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(48.153)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 14 сут автономии — ≈ 14 м; при наземной привязке раз в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ошибка ограничена ~0,1 м.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8" name="Picture 1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eph_growth_phase5.png"/>
                    <pic:cNvPicPr/>
                  </pic:nvPicPr>
                  <pic:blipFill>
                    <a:blip r:embed="rId14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Рост ошибки эфемерид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39" name="Picture 1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rank_phase5.png"/>
                    <pic:cNvPicPr/>
                  </pic:nvPicPr>
                  <pic:blipFill>
                    <a:blip r:embed="rId14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139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Наблюдаемые/ненаблюдаемые DOF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207434"/>
            <wp:docPr id="140" name="Picture 1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isl_geometry_phase5.png"/>
                    <pic:cNvPicPr/>
                  </pic:nvPicPr>
                  <pic:blipFill>
                    <a:blip r:embed="rId14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20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Геометрия ISL-связей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1" name="Picture 1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av_vs_ground_phase5.png"/>
                    <pic:cNvPicPr/>
                  </pic:nvPicPr>
                  <pic:blipFill>
                    <a:blip r:embed="rId15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Автономия vs наземный сегмент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Ananda et al. (1990), GPS AutoNav; Rajan (2002), crosslink ranging.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49  ARAIM И ЗАЩИТНЫЕ УРОВНИ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49.1  Solution separation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каждого режима отказа k вычисляется разность решений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(all-in-view vs subset-k) и защитный уровень: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VPL = max_k(|b_k| + K_md σ_ss,k) + K_ffmd σ_v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(49.154)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K_md = 5,33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K_ffmd = 5,81</w:t>
      </w:r>
      <w:r>
        <w:rPr>
          <w:rFonts w:ascii="Times New Roman" w:hAnsi="Times New Roman"/>
          <w:b w:val="0"/>
          <w:i w:val="0"/>
          <w:color w:val="000000"/>
          <w:sz w:val="28"/>
        </w:rPr>
        <w:t>. Бюджет целостности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P_HMI = 10⁻⁷</w:t>
      </w:r>
      <w:r>
        <w:rPr>
          <w:rFonts w:ascii="Times New Roman" w:hAnsi="Times New Roman"/>
          <w:b w:val="0"/>
          <w:i w:val="0"/>
          <w:color w:val="000000"/>
          <w:sz w:val="28"/>
        </w:rPr>
        <w:t>/заход: вертикаль 9,8·10⁻⁸, горизонталь 2·10⁻⁹;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P_sat = 10⁻⁵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, </w:t>
      </w:r>
      <w:r>
        <w:rPr>
          <w:rFonts w:ascii="Courier New" w:hAnsi="Courier New"/>
          <w:b w:val="0"/>
          <w:i w:val="0"/>
          <w:color w:val="000000"/>
          <w:sz w:val="28"/>
        </w:rPr>
        <w:t>P_const = 10⁻⁴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49.2  Результаты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Предел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9,87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VAL = 35 м (LPV-200)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HPL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4,90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HAL = 40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σ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V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0,421 / 0,232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2" name="Picture 1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hpl_phase5.png"/>
                    <pic:cNvPicPr/>
                  </pic:nvPicPr>
                  <pic:blipFill>
                    <a:blip r:embed="rId15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VPL/HPL vs пределы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3" name="Picture 1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risk_tree_phase5.png"/>
                    <pic:cNvPicPr/>
                  </pic:nvPicPr>
                  <pic:blipFill>
                    <a:blip r:embed="rId15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распределения P_HMI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4" name="Picture 1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isolation_phase5.png"/>
                    <pic:cNvPicPr/>
                  </pic:nvPicPr>
                  <pic:blipFill>
                    <a:blip r:embed="rId15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Изоляция отказов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5" name="Picture 1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aim_vpl_timeseries_phase5.png"/>
                    <pic:cNvPicPr/>
                  </pic:nvPicPr>
                  <pic:blipFill>
                    <a:blip r:embed="rId15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VPL за сутки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Blanch et al. (2015), *Baseline ARAIM*; GEAS Phase II Report (2010).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50  БЮДЖЕТ ЦЕЛОСТНОСТИ (LPV-200 / CAT-I)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50.1  Диаграмма Стэнфорда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Классификация N = 2·10⁴ пар (ошибка позиции PE, защитный уровень PL):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номинал / система недоступна (PL &gt; AL) / вводящая в заблуждение информация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(PE &gt; AL &gt; PL) / опасная (PE &gt; PL). VAL: LPV-200 = 35 м, CAT-I = 15 м.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50.2  Результаты и параметры ISM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Номинальных эпох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 (0 MI, 0 HMI)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CAT-I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100,0 %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Геогр. карта (сред.)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99,63 % (99,00–99,99 %)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b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nom / σ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URA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0,75 м / 0,50 м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ISM: P</w:t>
            </w:r>
            <w:r>
              <w:rPr>
                <w:rFonts w:ascii="Times New Roman" w:hAnsi="Times New Roman"/>
                <w:b w:val="0"/>
                <w:i/>
                <w:color w:val="000000"/>
                <w:sz w:val="24"/>
              </w:rPr>
              <w:t>sat / P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const / R_irr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10⁻⁵ / 10⁻⁴ / 10⁻⁸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46" name="Picture 1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nford_diagram_phase5.png"/>
                    <pic:cNvPicPr/>
                  </pic:nvPicPr>
                  <pic:blipFill>
                    <a:blip r:embed="rId15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Диаграмма Стэнфорда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7" name="Picture 1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_vs_al_phase5.png"/>
                    <pic:cNvPicPr/>
                  </pic:nvPicPr>
                  <pic:blipFill>
                    <a:blip r:embed="rId15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PL vs AL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48" name="Picture 1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ailability_lpv200_map_phase5.png"/>
                    <pic:cNvPicPr/>
                  </pic:nvPicPr>
                  <pic:blipFill>
                    <a:blip r:embed="rId15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Карта доступности LPV-200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49" name="Picture 1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m_parameters_phase5.png"/>
                    <pic:cNvPicPr/>
                  </pic:nvPicPr>
                  <pic:blipFill>
                    <a:blip r:embed="rId15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149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Параметры ISM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ICAO Annex 10 Vol I; RTCA DO-229E; EU-US ARAIM WG-C (2016).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51  СТОИМОСТНАЯ МОДЕЛЬ (LCC)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51.1  Структура жизненного цикла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LCC = NRE + underbraceΣ_n=1³⁰⁰ T_1 · nlog_² b_бус+ПН+ISL + underbraceN · C_clk_часы (COTS) + C_launch + C_ground + OPEX· Y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(51.155)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Кривая обучения Райта </w:t>
      </w:r>
      <w:r>
        <w:rPr>
          <w:rFonts w:ascii="Courier New" w:hAnsi="Courier New"/>
          <w:b w:val="0"/>
          <w:i w:val="0"/>
          <w:color w:val="000000"/>
          <w:sz w:val="28"/>
        </w:rPr>
        <w:t>b = 0,85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применяется к платформе и полезной нагрузке;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T_1 = 292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млн ₽ — стоимость первого лётного КА </w:t>
      </w:r>
      <w:r>
        <w:rPr>
          <w:rFonts w:ascii="Times New Roman" w:hAnsi="Times New Roman"/>
          <w:b/>
          <w:i w:val="0"/>
          <w:color w:val="000000"/>
          <w:sz w:val="28"/>
        </w:rPr>
        <w:t>без бортового стандарта частоты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Атомные часы (CSAC + space-Rb-якоря + обвязка) — отдельная закупная позиция: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5 млн ₽/комплект (РИРВ/«Время-Ч», РФ)</w:t>
      </w:r>
      <w:r>
        <w:rPr>
          <w:rFonts w:ascii="Times New Roman" w:hAnsi="Times New Roman"/>
          <w:b w:val="0"/>
          <w:i w:val="0"/>
          <w:color w:val="000000"/>
          <w:sz w:val="28"/>
        </w:rPr>
        <w:t>, без кривой обучения (мелкая серия у поставщика).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51.2  Бюджет (оценка)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Статья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Стоимость, млн ₽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Справ. $M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NRE (проектирование + квалификация)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10 800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300 КА — платформа+нав. ПН+ISL (с кривой обучения)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29 851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Бортовой стандарт частоты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(300 CSAC + 15 space-Rb, РФ)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1 500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(25 × 1 080)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27 000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Наземный сегмент (CAPEX)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OPEX за 7 лет (3 600 × 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25 200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280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101 551 млн ₽ ≈ 101,5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1 128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LCC за 15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130 351 млн ₽ ≈ 130,4 млрд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1 449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на 1 КА (7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339 млн ₽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3,77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Стоимость в год (среднее за 7 лет)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14 507 млн ₽/год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161,2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Ключевое преимущество: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использование российских бортовых стандартов частоты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снижает стоимость часовой подсистемы в ≈ 14 раз против западных аналогов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(Microsemi 5071A space-qual ≈ 68 млн ₽/комплект). Экономия за серию ≈ 18,9 млрд ₽.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делает программу АВРОРА конкурентоспособной без западного импорта критичной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элементной базы.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50" name="Picture 1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breakdown_phase5.png"/>
                    <pic:cNvPicPr/>
                  </pic:nvPicPr>
                  <pic:blipFill>
                    <a:blip r:embed="rId15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Структура LCC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1" name="Picture 1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curve_phase5.png"/>
                    <pic:cNvPicPr/>
                  </pic:nvPicPr>
                  <pic:blipFill>
                    <a:blip r:embed="rId16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Кривая обучения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2" name="Picture 1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c_vs_years_phase5.png"/>
                    <pic:cNvPicPr/>
                  </pic:nvPicPr>
                  <pic:blipFill>
                    <a:blip r:embed="rId16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LCC vs срок миссии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3" name="Picture 1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st_sensitivity_phase5.png"/>
                    <pic:cNvPicPr/>
                  </pic:nvPicPr>
                  <pic:blipFill>
                    <a:blip r:embed="rId16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Чувствительность LCC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Источники: Wertz &amp; Larson (1999), *SMAD*; NASA Cost Estimating Handbook (2015).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52  ПРОИЗВОДСТВО И AIT 300 КА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52.1  Поток сборки-испытаний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Цикл AIT одного КА — 35 сут: интеграция 10, функц. испытания 7,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термовакуум + вибрация 14, финал/отгрузка 4. Такт = T_прогр/300;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36-месячной программы требуется </w:t>
      </w:r>
      <w:r>
        <w:rPr>
          <w:rFonts w:ascii="Times New Roman" w:hAnsi="Times New Roman"/>
          <w:b/>
          <w:i w:val="0"/>
          <w:color w:val="000000"/>
          <w:sz w:val="28"/>
        </w:rPr>
        <w:t>4 параллельные линии AIT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Линий AIT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Темп (КА/мес)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Срок 300 КА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~100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~67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6,0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~50 мес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Узкое место — термовакуумная камера (14 сут/КА).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4" name="Picture 1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it_flow_phase5.png"/>
                    <pic:cNvPicPr/>
                  </pic:nvPicPr>
                  <pic:blipFill>
                    <a:blip r:embed="rId16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Поток AIT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5" name="Picture 1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duction_rate_phase5.png"/>
                    <pic:cNvPicPr/>
                  </pic:nvPicPr>
                  <pic:blipFill>
                    <a:blip r:embed="rId16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Темп производства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6" name="Picture 1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ctory_throughput_phase5.png"/>
                    <pic:cNvPicPr/>
                  </pic:nvPicPr>
                  <pic:blipFill>
                    <a:blip r:embed="rId16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Пропускная способность завода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57" name="Picture 1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schedule_phase5.png"/>
                    <pic:cNvPicPr/>
                  </pic:nvPicPr>
                  <pic:blipFill>
                    <a:blip r:embed="rId16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График развёртывания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53  КАМПАНИЯ ВЫВЕДЕНИЯ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53.1  Манифест и фазирование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89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Носитель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КА/пуск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Число пусков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Лёгкий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Фазирование RAAN дифференциальным J2-дрейфом: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000000"/>
          <w:sz w:val="28"/>
        </w:rPr>
        <w:t>dotΩ_park = -2,196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°/сут, </w:t>
      </w:r>
      <w:r>
        <w:rPr>
          <w:rFonts w:ascii="Courier New" w:hAnsi="Courier New"/>
          <w:b w:val="0"/>
          <w:i w:val="0"/>
          <w:color w:val="000000"/>
          <w:sz w:val="28"/>
        </w:rPr>
        <w:t>dotΩ_опер = -1,549</w:t>
      </w:r>
      <w:r>
        <w:rPr>
          <w:rFonts w:ascii="Times New Roman" w:hAnsi="Times New Roman"/>
          <w:b w:val="0"/>
          <w:i w:val="0"/>
          <w:color w:val="000000"/>
          <w:sz w:val="28"/>
        </w:rPr>
        <w:t>°/сут,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разность −0,647°/сут → ~37 сут на разведение плоскостей на 24°.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ΔV выведения (Хоманн с парковочной 300 км → 1000 км):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ΔV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перигея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Подъём апогея + циркуляризация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185 + 15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Штраф фазирования RAAN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м/с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420 м/с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Полное созвездие: 45 мес при 4 пусках/год, 22 мес при 8 пусках/год.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58" name="Picture 1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unch_manifest_phase5.png"/>
                    <pic:cNvPicPr/>
                  </pic:nvPicPr>
                  <pic:blipFill>
                    <a:blip r:embed="rId16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Манифест пусков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59" name="Picture 1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an_phasing_phase5.png"/>
                    <pic:cNvPicPr/>
                  </pic:nvPicPr>
                  <pic:blipFill>
                    <a:blip r:embed="rId16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159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Фазирование RAAN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0" name="Picture 1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ment_timeline_phase5.png"/>
                    <pic:cNvPicPr/>
                  </pic:nvPicPr>
                  <pic:blipFill>
                    <a:blip r:embed="rId16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Таймлайн развёртывания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1" name="Picture 1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v_raise_budget_phase5.png"/>
                    <pic:cNvPicPr/>
                  </pic:nvPicPr>
                  <pic:blipFill>
                    <a:blip r:embed="rId17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ΔV выведения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54  НАЗЕМНЫЙ СЕГМЕНТ (MCS/TT&amp;C)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54.1  Архитектура и задержки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5 станций TT&amp;C + 21 станция мониторинга/RSN + резервированный MCS.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Сквозная задержка управления: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мс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Обработка станции TT&amp;C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Станция → MCS (оптика)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MCS: расчёт орбиты и часов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расписания загрузки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15,0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Восходящий канал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3,3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96,6 мс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54.2  Резервирование и пропускная способность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Доступность MCS = </w:t>
      </w:r>
      <w:r>
        <w:rPr>
          <w:rFonts w:ascii="Courier New" w:hAnsi="Courier New"/>
          <w:b w:val="0"/>
          <w:i w:val="0"/>
          <w:color w:val="000000"/>
          <w:sz w:val="28"/>
        </w:rPr>
        <w:t>1-(1-R)ⁿ</w:t>
      </w:r>
      <w:r>
        <w:rPr>
          <w:rFonts w:ascii="Times New Roman" w:hAnsi="Times New Roman"/>
          <w:b w:val="0"/>
          <w:i w:val="0"/>
          <w:color w:val="000000"/>
          <w:sz w:val="28"/>
        </w:rPr>
        <w:t>, R_одиночн. = 0,98: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без резерва 0,980; 1+1 → 0,99960; 2+1 → 0,99999.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Выявленное ограничение и план закрытия: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при 5 станциях TT&amp;C доступно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~600 контактов/сут против требуемых ~1200 для 300 КА (дефицит −50 %).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Решение — поэтапное расширение TT&amp;C-сети до 10 станций (требование GRN-01):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Станции (доп.)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 Ф ввода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Доступно конт./сут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Покрытие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Базовый (Ф1–Ф2, 90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Расширение Ф3 (180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 → 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960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87 %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Ф4 (300 КА)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 → 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1200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Альтернатива — увеличение пропускной способности на станцию (мульти-частотный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аплинк, повышение скорости TM) — может снять дефицит до 8 станций.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Передано в SRD как GRN-01 «≥ 5 станций (наращивание до 10)» (см. §55.5).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05575"/>
            <wp:docPr id="162" name="Picture 1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architecture_phase5.png"/>
                    <pic:cNvPicPr/>
                  </pic:nvPicPr>
                  <pic:blipFill>
                    <a:blip r:embed="rId17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05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Архитектура наземного сегмента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3" name="Picture 1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latency_phase5.png"/>
                    <pic:cNvPicPr/>
                  </pic:nvPicPr>
                  <pic:blipFill>
                    <a:blip r:embed="rId17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Бюджет задержки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64" name="Picture 1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s_redundancy_phase5.png"/>
                    <pic:cNvPicPr/>
                  </pic:nvPicPr>
                  <pic:blipFill>
                    <a:blip r:embed="rId17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Резервирование MCS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55  СИСТЕМНЫЕ ТРЕБОВАНИЯ (SRD)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55.1  Иерархия требований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Требования АВРОРА структурированы по уровням согласно ГОСТ Р 15.000-2016 и ECSS-E-ST-10C: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Префикс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Количество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Миссионные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MIS-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Заказчик / стратегия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Функциональные требования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FUN-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операций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Системная архитектура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 требования к НКУ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GRN-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сегмента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ограничения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EXT-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/ стандарты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46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55.2  Миссионные требования (MIS-)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 верификации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Глобальное покрытие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 при PDOP &lt; 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§46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горизонтальной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50 см (одночастот.) / &lt; 30 см (двухчаст.)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Полевые испытания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вертикальной позиции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+ полевые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LPV-200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ARAIM анализ 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Целостность </w:t>
            </w:r>
            <w:r>
              <w:rPr>
                <w:rFonts w:ascii="Courier New" w:hAnsi="Courier New"/>
                <w:b w:val="0"/>
                <w:i w:val="0"/>
                <w:color w:val="000000"/>
                <w:sz w:val="24"/>
              </w:rPr>
              <w:t>P_HMI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10⁻⁷/заход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Проектный срок службы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 лет (расширение до 15)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надёжность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группировки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84 мес от первого пуска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 график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Независимость от иностранной критической ЭКБ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Часы, ЭКБ rad-hard —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§51 экономика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55.3  Функциональные требования (FUN-, выборка ключевых)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сигнала на L1 (1575,42 МГц) и L5 (1176,45 МГц)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L1: BOC(1,1) data + TMBOC(6,1,4/33)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Модуляция L5: BPSK(10) data + pilot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§6.2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сигнала (анти-спуфинг)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MAC, §16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Время до первого определения TTFF cold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TTFF warm/hot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5 с / ≤ 1 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 (ISL)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Ka 26,5 ГГц,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Автономная навигация (без земли)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Drift &lt; 1 м/сут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§48 AutoNav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Передача SSR-поправок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&lt; 100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Сходимость PPP-RTK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с при базе &lt; 300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Бортовая шкала времени LPT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Синхронизация с UTC ± 5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Аварийный сход с орбиты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Естественное падение ≤ 25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 IADC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Предотвращение столкновений (CAM)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Решение об уклонении при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Радио-молчание (в эмерженси)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Команда «mute» все КА за 5 мин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§56 CONOPS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55.4  Технические требования к КА (SAT-, выборка)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Масса заправленного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150 кг (цель), фактическая 140 кг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Габариты в дискомпактном диспенсере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60×60×80 см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Полезная мощность EOL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880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Стабильность бортового стандарта (CSAC) τ=100 с (ADEV)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3·10⁻¹¹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БЦВМ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TID ≥ 100 крад (Si)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ориентации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0,3° (3σ)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Изменчивость SISA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0,5 м (1σ)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Перегруз. способность ΔV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175 м/с с запасом 2,5×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ёмкость на 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канала (2 intra + 2 inter)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 интервал обновления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600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Срок хранения готовности (warehouse)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24 мес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SAT-12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подсистем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См. §35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55.5  Технические требования к НКУ (GRN-)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TT&amp;C-станций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станций (наращивание до 10) §54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Сеть мониторинга (RSN)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21 станция, шаг ≤ 300 км в РФ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MCS резервирование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2N+1 (2 активных + 1 hot-spare)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Доступность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0,9999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Задержка обновления SSR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≤ 30 с (сеть → пользователь)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Архив телеметрии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≥ 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GRN-07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 класс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КИИ-1 (по ФЗ-187, КИИ России)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55.6  Внешние ограничения (EXT-)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Ограничение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МСЭ-R, RR ст. 21 / S.1340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PFD ≤ −121,5 дБВт/м² (4 МГц, RNSS защита)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ГКРЧ РФ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Согласование полос L1/L5/Ka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«25 years rule»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Сход с орбиты ≤ 25 лет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ИКАО Annex 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Соответствие критериям SBAS для гражд. авиации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(КИИ)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Категория КИИ-1, защита по 17/239 ФСТЭК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Полная трассировка «требование → раздел проекта → метод верификации» — в §59.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56  КОНЦЕПЦИЯ ОПЕРАЦИЙ (CONOPS)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56.1  Эксплуатационные режимы КА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99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Режим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Условия входа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LAU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Launch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отделения от диспенсера; ориентация по Солнцу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T+0 ... T+1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ACQ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Acquisition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Раскрытие СБ, выход на трёхосную стабилизацию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T+1 ... T+4 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COM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Commissioning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Тестирование подсистем, калибровка часов, синхронизация ISL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T+4 ч ... T+30 сут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 30 сут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OPS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Operational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навигационная служба; передача L1/L5; ISL активны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M_ACC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SAF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Safe Mode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 обнаружении аномалии (FDIR); ориентация SunPoint; сброс ПН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Триггер 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Часы–сутки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CAM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Collision Avoidance Manoeuvre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Уклонение от обломка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30 мин на манёвр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MNT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Maintenance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Загрузка ПО, калибровка, реконфигурация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 плану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&lt; 1 ч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EOL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End of Life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Финальный тормозной импульс, пассивация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После выработки ресурса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1–7 сут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56.2  Диаграмма состояний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 xml:space="preserve">                ┌──────────┐</w:t>
        <w:br/>
        <w:t xml:space="preserve">                │   LAU    │</w:t>
        <w:br/>
        <w:t xml:space="preserve">                └────┬─────┘</w:t>
        <w:br/>
        <w:t xml:space="preserve">                     │ T+1 ч, аппарат стабилизирован</w:t>
        <w:br/>
        <w:t xml:space="preserve">                ┌────▼─────┐</w:t>
        <w:br/>
        <w:t xml:space="preserve">                │   ACQ    │</w:t>
        <w:br/>
        <w:t xml:space="preserve">                └────┬─────┘</w:t>
        <w:br/>
        <w:t xml:space="preserve">                     │ EPS, AOCS, ISL подключены</w:t>
        <w:br/>
        <w:t xml:space="preserve">                ┌────▼─────┐                    ┌──────────┐</w:t>
        <w:br/>
        <w:t xml:space="preserve">                │   COM    │ ────тестирование──▶│   SAF    │</w:t>
        <w:br/>
        <w:t xml:space="preserve">                └────┬─────┘                    │(аномалия)│</w:t>
        <w:br/>
        <w:t xml:space="preserve">                     │ часы синхронизированы    └────┬─────┘</w:t>
        <w:br/>
        <w:t xml:space="preserve">                ┌────▼─────┐ ◄──reset──────────────┘</w:t>
        <w:br/>
        <w:t xml:space="preserve">   ┌────────────│   OPS    │</w:t>
        <w:br/>
        <w:t xml:space="preserve">   │            │(штатный) │</w:t>
        <w:br/>
        <w:t xml:space="preserve">   │  ┌────────▶└────┬─────┘ ◄────┐</w:t>
        <w:br/>
        <w:t xml:space="preserve">   │  │              │             │</w:t>
        <w:br/>
        <w:t xml:space="preserve">   │ MNT           CAM             │</w:t>
        <w:br/>
        <w:t xml:space="preserve">   │  │              │             │</w:t>
        <w:br/>
        <w:t xml:space="preserve">   │  └──вход───┐    │             │</w:t>
        <w:br/>
        <w:t xml:space="preserve">   │   мес.    │    │             │</w:t>
        <w:br/>
        <w:t xml:space="preserve">   │           ▼    ▼             │</w:t>
        <w:br/>
        <w:t xml:space="preserve">   │          ┌──────────┐         │</w:t>
        <w:br/>
        <w:t xml:space="preserve">   │          │ Возврат  │─────────┘</w:t>
        <w:br/>
        <w:t xml:space="preserve">   │          │  в OPS   │</w:t>
        <w:br/>
        <w:t xml:space="preserve">   │          └──────────┘</w:t>
        <w:br/>
        <w:t xml:space="preserve">   │</w:t>
        <w:br/>
        <w:t xml:space="preserve">   ▼ Конец 7-летнего проектного срока</w:t>
        <w:br/>
        <w:t>┌──────────┐</w:t>
        <w:br/>
        <w:t>│   EOL    │ — финальный ΔV 120 м/с, пассивация, естественный сход ≤ 25 лет</w:t>
        <w:br/>
        <w:t>└──────────┘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56.3  Эксплуатационные сценарии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А — штатная навигационная служба (95 % времени):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KA в OPS, передаёт L1/L5, измеряет ISL-дальности до 4 соседей, передаёт навигационное сообщение, принимает аплинк-команды из MCS раз в орбиту.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Б — пополнение группировки: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Новый КА с диспенсера, выход на дрейфовую орбиту 300 км, фазирование по RAAN (~37 сут на каждую плоскость, §53), подъём на 1000 км, COM-фаза 30 сут, ввод в OPS.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В — отказ КА: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FDIR на борту → SAF Mode; уведомление MCS через TT&amp;C; диагностика; решение либо восстановление, либо вывод из эксплуатации; пополнение группировки запасным КА из «холодного резерва».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Г — CAM (предотвращение столкновения):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Прогноз сближения от Роскосмос / 18 SDS; оценка P(c) &gt; 10⁻⁴; план манёвра (∆V ≈ 5 мм/с); согласование с MCS; выполнение; возврат в OPS (~30 мин total).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Д — кибератака (TESLA-ключи скомпрометированы):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Обнаружение через мониторинг RSN-аномалий; rollover ключевой цепочки TESLA по запасному набору; уведомление пользователей через SSR флаг; восстановление в течение 5 минут.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Сценарий Е — потеря связи с MCS (катастрофа):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КА переходят в AutoNav режим (ISL-based, §48); деградация эфемерид ~1 м/сут; флаг «degraded mode» в навигационном сообщении; пользователи переключаются на резервные системы (ГЛОНАСС/GPS).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56.4  Операционная команда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Функции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Дежурный оператор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 (24/7)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Мониторинг, контроль ПО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Системный инженер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OD, расчёт SSR, FDIR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Программист бортового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Обновления, патчи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Инженер ТЭО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телеметрии, прогноз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Кибербезопасность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SOC, инциденты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Аналитики данных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Качество сигнала, валидация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штат MCS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57  РЕЕСТР РИСКОВ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57.1  Методология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Оценка рисков по матрице </w:t>
      </w:r>
      <w:r>
        <w:rPr>
          <w:rFonts w:ascii="Times New Roman" w:hAnsi="Times New Roman"/>
          <w:b/>
          <w:i w:val="0"/>
          <w:color w:val="000000"/>
          <w:sz w:val="28"/>
        </w:rPr>
        <w:t>Probability × Severity (P × S)</w:t>
      </w:r>
      <w:r>
        <w:rPr>
          <w:rFonts w:ascii="Times New Roman" w:hAnsi="Times New Roman"/>
          <w:b w:val="0"/>
          <w:i w:val="0"/>
          <w:color w:val="000000"/>
          <w:sz w:val="28"/>
        </w:rPr>
        <w:t>, шкала 1–5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 каждой оси (ГОСТ Р ИСО 31000, ECSS-M-ST-80C):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Low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(1–5): принять, мониторить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Medium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(6–12): план снижения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High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(13–20): активная митигация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Critical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(&gt;20): немедленное действие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Реестр из 25 идентифицированных рисков по 6 категориям: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Технические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(T), </w:t>
      </w:r>
      <w:r>
        <w:rPr>
          <w:rFonts w:ascii="Times New Roman" w:hAnsi="Times New Roman"/>
          <w:b/>
          <w:i w:val="0"/>
          <w:color w:val="000000"/>
          <w:sz w:val="28"/>
        </w:rPr>
        <w:t>Программные/орг.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(P), </w:t>
      </w:r>
      <w:r>
        <w:rPr>
          <w:rFonts w:ascii="Times New Roman" w:hAnsi="Times New Roman"/>
          <w:b/>
          <w:i w:val="0"/>
          <w:color w:val="000000"/>
          <w:sz w:val="28"/>
        </w:rPr>
        <w:t>Внешние/регулят.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(E),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Космич. среда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(S), </w:t>
      </w:r>
      <w:r>
        <w:rPr>
          <w:rFonts w:ascii="Times New Roman" w:hAnsi="Times New Roman"/>
          <w:b/>
          <w:i w:val="0"/>
          <w:color w:val="000000"/>
          <w:sz w:val="28"/>
        </w:rPr>
        <w:t>Кибер/безопасность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(C), </w:t>
      </w:r>
      <w:r>
        <w:rPr>
          <w:rFonts w:ascii="Times New Roman" w:hAnsi="Times New Roman"/>
          <w:b/>
          <w:i w:val="0"/>
          <w:color w:val="000000"/>
          <w:sz w:val="28"/>
        </w:rPr>
        <w:t>Эксплуатационные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57.2  Сводка по категориям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Кол-во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Σ 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Макс.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Внешние (санкции/регул.)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High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Технические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47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Эксплуатационные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Low–Medium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222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57.3  Топ-5 рисков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Описание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P×S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871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E-03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Запрет на использование иностранных РН (санкции возврат)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Локализация: Союз-2.1, Ангара; rideshare с дружественными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E-05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Эмбарго на rad-hard ЭКБ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16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High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Программа замещения; Cypress→ "Миландр"/"Микрон"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Радиационное повреждение БЦВМ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Утолщённый экран Al 4 мм, rad-hard версия БЦВМ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P-01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Срыв сроков ОКР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Параллельные команды, ранние прототипы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P-02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Удорожание свыше 1,5× LCC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Medium</w:t>
            </w:r>
          </w:p>
        </w:tc>
        <w:tc>
          <w:tcPr>
            <w:tcW w:type="dxa" w:w="1871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Чёткий объём, EVM (Earned Value Management)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169664"/>
            <wp:docPr id="165" name="Picture 1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matrix_phase5.png"/>
                    <pic:cNvPicPr/>
                  </pic:nvPicPr>
                  <pic:blipFill>
                    <a:blip r:embed="rId17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169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P×S всех рисков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06505"/>
            <wp:docPr id="166" name="Picture 1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top10_phase5.png"/>
                    <pic:cNvPicPr/>
                  </pic:nvPicPr>
                  <pic:blipFill>
                    <a:blip r:embed="rId17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06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Топ-10 рисков по приоритету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453368"/>
            <wp:docPr id="167" name="Picture 1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categories_phase5.png"/>
                    <pic:cNvPicPr/>
                  </pic:nvPicPr>
                  <pic:blipFill>
                    <a:blip r:embed="rId17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453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Распределение по категориям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842953"/>
            <wp:docPr id="168" name="Picture 1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burndown_phase5.png"/>
                    <pic:cNvPicPr/>
                  </pic:nvPicPr>
                  <pic:blipFill>
                    <a:blip r:embed="rId17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42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План снижения суммарного риска (burndown)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Полный реестр (25 рисков с описаниями, владельцами, мерами): [results/risks/risks</w:t>
      </w:r>
      <w:r>
        <w:rPr>
          <w:rFonts w:ascii="Times New Roman" w:hAnsi="Times New Roman"/>
          <w:b w:val="0"/>
          <w:i/>
          <w:color w:val="000000"/>
          <w:sz w:val="28"/>
        </w:rPr>
        <w:t>phase5.csv](results/risks/risks</w:t>
      </w:r>
      <w:r>
        <w:rPr>
          <w:rFonts w:ascii="Times New Roman" w:hAnsi="Times New Roman"/>
          <w:b w:val="0"/>
          <w:i w:val="0"/>
          <w:color w:val="000000"/>
          <w:sz w:val="28"/>
        </w:rPr>
        <w:t>phase5.csv).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58  ПЛАН РАБОТ И ГРАФИК (GANTT)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58.1  Структура программы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Программа АВРОРА — 13 фаз с янв. 2026 по янв. 2043 (204 мес. = 17 лет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до конца проектного срока ВЭ Ф4). Текущая фаза: </w:t>
      </w:r>
      <w:r>
        <w:rPr>
          <w:rFonts w:ascii="Times New Roman" w:hAnsi="Times New Roman"/>
          <w:b/>
          <w:i w:val="0"/>
          <w:color w:val="000000"/>
          <w:sz w:val="28"/>
        </w:rPr>
        <w:t>Технический проект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#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Старт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Длительн.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Конец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Концептуальный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Эскизный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2026-04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Технический проект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2026-10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🔄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рабочая документация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ОКР: квалификационные испытания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опытной партии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2029-01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 (3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ЛКИ + валидация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2030-06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Ф1–Ф2 (90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Ф1–Ф2 (5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2031-07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Серия Ф3–Ф4 (210 КА)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36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2035-07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Запуски Ф3–Ф4 (10 пусков)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2033-07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13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Ф4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84 мес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⏳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58.2  Ключевые вехи (Milestones)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Веха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2027-10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Защита технического проекта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2028-07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Готовность к ОКР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2030-05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Запуск демонстратора Ф0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2032-07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Ввод в эксплуатацию Ф1–Ф2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2034-07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Операционная фаза Ф3 (180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2036-01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 развёртывание Ф4 (300 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M7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2043-01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Конец 7-летнего проектного срока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58.3  Критический путь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Критический путь длиной </w:t>
      </w:r>
      <w:r>
        <w:rPr>
          <w:rFonts w:ascii="Times New Roman" w:hAnsi="Times New Roman"/>
          <w:b/>
          <w:i w:val="0"/>
          <w:color w:val="000000"/>
          <w:sz w:val="28"/>
        </w:rPr>
        <w:t>204 мес.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проходит через производство 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последовательность пусков (Союз-2.1 / Ангара-1.2 / rideshare). Любая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задержка в фазах 6, 9, 11 транслируется в M6 → M7.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58.4  Профиль персонала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677"/>
        <w:gridCol w:w="4677"/>
      </w:tblGrid>
      <w:tr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Фаза</w:t>
            </w:r>
          </w:p>
        </w:tc>
        <w:tc>
          <w:tcPr>
            <w:tcW w:type="dxa" w:w="4677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Численность (среднее)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 + эскизный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150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+ запуски (пик)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300 чел.</w:t>
            </w:r>
          </w:p>
        </w:tc>
      </w:tr>
      <w:tr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 MCS</w:t>
            </w:r>
          </w:p>
        </w:tc>
        <w:tc>
          <w:tcPr>
            <w:tcW w:type="dxa" w:w="4677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 чел. (см. §56.4)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779776"/>
            <wp:docPr id="169" name="Picture 1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gantt_phase5.png"/>
                    <pic:cNvPicPr/>
                  </pic:nvPicPr>
                  <pic:blipFill>
                    <a:blip r:embed="rId17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797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169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Gantt: программный график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1737360"/>
            <wp:docPr id="170" name="Picture 17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milestones_phase5.png"/>
                    <pic:cNvPicPr/>
                  </pic:nvPicPr>
                  <pic:blipFill>
                    <a:blip r:embed="rId17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7373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Ключевые вехи на временной шкале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58568"/>
            <wp:docPr id="171" name="Picture 17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critical_path_phase5.png"/>
                    <pic:cNvPicPr/>
                  </pic:nvPicPr>
                  <pic:blipFill>
                    <a:blip r:embed="rId18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58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Критический путь программы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33749"/>
            <wp:docPr id="172" name="Picture 1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edule_workforce_phase5.png"/>
                    <pic:cNvPicPr/>
                  </pic:nvPicPr>
                  <pic:blipFill>
                    <a:blip r:embed="rId18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33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Численность персонала во времени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59  ПЛАН ВЕРИФИКАЦИИ И ВАЛИДАЦИИ (V&amp;V)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59.1  Методы верификации (ECSS-E-ST-10-02C)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Analysis (анализ/расчёт)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Бюджеты, моделирование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Review-of-Design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Анализ проектной документации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Inspection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Визуальный осмотр, измерения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Стендовые / ЛКИ испытания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D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Demonstration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Функциональная демонстрация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59.2  Матрица верификации (выборка ключевых требований)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Метод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Когда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Где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MIS-01 Глобальное покрытие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Ф0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§46 + Земля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MIS-02 Точность H 95 %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Симуляция → ЛКИ →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§45 → пользоват. полев.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MIS-04 LPV-200 ≥ 99 %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 ARAIM + лётн. демо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Авиа-полигон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MIS-05 P_HMI &lt; 10⁻⁷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Probabilistic risk analysis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MIS-06 Жизнь 7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MTBF расчёт + TVAC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 + лаборатория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FUN-04 Аутентификация TESLA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Стенд → имитатор спуфера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Лаб. безоп.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FUN-07 ISL σ_range &lt; 5 см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 расчёт + стендовый измер.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полигон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FUN-11 LPT ± 5 нс UTC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Сравн. с UTC(SU) через H-мазер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МКС, ВНИИФТРИ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SAT-04 CSAC ADEV ≤ 3·10⁻¹¹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Allan-стенд (эталон — H-мазер Ч1-1008, ВРЕМЯ-Ч)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РИРВ лаб.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SAT-05 TID 100 крад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Гамма-облучение Co-60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НИИ ИИФТРИ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SAT-06 Антенна 0,3° (3σ)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 +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Тёплый ваккум-полигон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НПОЛ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SAT-08 ΔV 175 м/с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Тсиолковский + ОКД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Документация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EXT-01 PFD ≤ −121,5 дБВт/м²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 EPFD расчёт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МСЭ filing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EXT-04 ИКАО SBAS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 + 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Сравнение с RTCA DO-229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Сертиф. центр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59.3  Этапы верификации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DAR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(Design Approval Review) — анализ всех требований к МТП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CDR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(Critical Design Review) — окончание ОКР, готовность производства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QR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(Qualification Review) — после квалификац. испытаний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ARR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(Acceptance Readiness Review) — готовность к запуску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CRR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(Commissioning Readiness Review) — после COM-фазы (см. §56)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ORR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(Operational Readiness Review) — переход в OPS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59.4  Документация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VCD (Verification Control Document) — главный документ V&amp;V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VTR (Verification Test Report) — отчёты по каждому испытанию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AIT/AIV plan — план интеграционных работ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TRR (Test Readiness Reviews) — перед каждым крупным тестом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59.5  Валидация моделей на эталонных данных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Аналитические модели проверены численно против эталонов: встроенная карта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TEC по типу IGS GIM, стандартная атмосфера ICAO ISA + Niell mapping function,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имитированные SLR-residuals. Реализовано модулями </w:t>
      </w:r>
      <w:r>
        <w:rPr>
          <w:rFonts w:ascii="Courier New" w:hAnsi="Courier New"/>
          <w:b w:val="0"/>
          <w:i w:val="0"/>
          <w:color w:val="7B0000"/>
          <w:sz w:val="22"/>
        </w:rPr>
        <w:t>aurora.pnt.real_data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</w:t>
      </w:r>
    </w:p>
    <w:p>
      <w:pPr>
        <w:spacing w:lineRule="auto" w:line="360" w:before="0" w:after="0"/>
        <w:ind w:firstLine="709"/>
        <w:jc w:val="both"/>
      </w:pPr>
      <w:r>
        <w:rPr>
          <w:rFonts w:ascii="Courier New" w:hAnsi="Courier New"/>
          <w:b w:val="0"/>
          <w:i w:val="0"/>
          <w:color w:val="7B0000"/>
          <w:sz w:val="22"/>
        </w:rPr>
        <w:t>aurora.pnt.validate_models</w:t>
      </w:r>
      <w:r>
        <w:rPr>
          <w:rFonts w:ascii="Times New Roman" w:hAnsi="Times New Roman"/>
          <w:b w:val="0"/>
          <w:i w:val="0"/>
          <w:color w:val="000000"/>
          <w:sz w:val="28"/>
        </w:rPr>
        <w:t>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Модель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Эталон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RMSE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R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Порог</w:t>
            </w:r>
          </w:p>
        </w:tc>
        <w:tc>
          <w:tcPr>
            <w:tcW w:type="dxa" w:w="155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Klobuchar (§11)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embedded GIM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1,66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0,842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5,0 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Saastamoinen + NMF (§34)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ISA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14,3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0,9999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мм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  <w:tr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POD (§47)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(σ=1 см шум)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0,97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0,982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 см</w:t>
            </w:r>
          </w:p>
        </w:tc>
        <w:tc>
          <w:tcPr>
            <w:tcW w:type="dxa" w:w="155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PASS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Источники реальных данных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(для будущей замены embedded на live):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109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URL/протокол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Формат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IGS GIM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ftp://cddis.gsfc.nasa.gov/gnss/products/ionex/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IONEX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Карты TEC для валидации §11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broadcast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ftp://cddis.gsfc.nasa.gov/gnss/data/daily/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RINEX 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для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VMF3 тропо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https://vmf.geo.tuwien.ac.at/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NetCDF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Гриды mapping func §34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SLR NPT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ftp://cddis.gsfc.nasa.gov/slr/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NPT/CRD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Валидация POD §47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GLONASS PZ-90.11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МАК «Радионавигация»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Геодезические параметры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4053840"/>
            <wp:docPr id="173" name="Picture 1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iono_klobuchar_phase5.png"/>
                    <pic:cNvPicPr/>
                  </pic:nvPicPr>
                  <pic:blipFill>
                    <a:blip r:embed="rId18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53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Klobuchar §11 vs эталонная карта TEC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74" name="Picture 1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tropo_saastamoinen_phase5.png"/>
                    <pic:cNvPicPr/>
                  </pic:nvPicPr>
                  <pic:blipFill>
                    <a:blip r:embed="rId18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174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Saastamoinen + NMF vs ICAO ISA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04646"/>
            <wp:docPr id="175" name="Picture 1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pod_slr_phase5.png"/>
                    <pic:cNvPicPr/>
                  </pic:nvPicPr>
                  <pic:blipFill>
                    <a:blip r:embed="rId18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04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175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POD §47 vs имитированные SLR-residuals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71700"/>
            <wp:docPr id="176" name="Picture 1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lidate_summary_phase5.png"/>
                    <pic:cNvPicPr/>
                  </pic:nvPicPr>
                  <pic:blipFill>
                    <a:blip r:embed="rId18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71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176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Сводная таблица валидации моделей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Команды CLI для воспроизведения: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aurora-pnt real-data -l phase5</w:t>
        <w:br/>
        <w:t>aurora-pnt validate  -l phase5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59.6  Матрица трассируемости (требование → раздел → реализация)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Требование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ТП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Модуль / результаты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Покрытие 100% (Ф4), геометрия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§5, §46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coverage_maps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dop_temporal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/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summary_phase4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Шкала времени UTC &lt; 5 нс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§8, §28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time_scale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Навигационный сигнал L1/L5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§6, §7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signal_design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nav_message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 Ka-дальнометрия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isl_ranging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isl_link_budget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Точность UERE / CEP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§8.6, §12, §25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timing_chain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pvt_montecarlo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monte_carlo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Целостность RAIM / ARAIM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§14, §49, §50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araim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integrity_budget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Помехозащищённость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anti_jam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Аутентификация TESLA MAC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tesla_mac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Криптозащита нав-сообщения (ГОСТ)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§16.4–16.7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crypto_auth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(Стрибог/34.10/Кузнечик)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Сокращение холодного TTFF (A-GNSS)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§27.3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Пути повышения точности (SSR/PPP-RTK)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accuracy_paths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Геодезическая система отсчёта ПЗ-90.11 / EOP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reference_frame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Межчастотная задержка TGD/DCB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§37.4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tgd_dcb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Двухсервисная архитектура (А открытый / Б защищённый)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dual_service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Энергетика / масса / тепло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§18–20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power_budget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mass_budget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thermal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Деорбит / конъюнкции (IADC)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§22, §23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deorbit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conjunction_pc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radiation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Наземная раздача времени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SHIWA TIME / PTP² (ШИВА НЕТВОРК)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60  КИБЕРБЕЗОПАСНОСТЬ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60.1  Модель угроз STRIDE/PASTA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Идентифицировано </w:t>
      </w:r>
      <w:r>
        <w:rPr>
          <w:rFonts w:ascii="Times New Roman" w:hAnsi="Times New Roman"/>
          <w:b/>
          <w:i w:val="0"/>
          <w:color w:val="000000"/>
          <w:sz w:val="28"/>
        </w:rPr>
        <w:t>20 угроз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в 5 сегментах системы: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SIS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(Signal-in-Space) — спуфинг, глушение, перехват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Бортовой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компрометация ключей, RF-инъекции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MCS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(центр управления) — атаки на серверы, цепочка поставок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TT&amp;C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(сеть управления) — повреждение команд, MitM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Пользовательский сегмент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спуфинг приёмника, side-channel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60.2  Топ-угрозы и их меры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1169"/>
        <w:gridCol w:w="1169"/>
        <w:gridCol w:w="1169"/>
        <w:gridCol w:w="1169"/>
        <w:gridCol w:w="1169"/>
        <w:gridCol w:w="1169"/>
        <w:gridCol w:w="1169"/>
        <w:gridCol w:w="1169"/>
      </w:tblGrid>
      <w:tr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ID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P×I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Мера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Эфф.</w:t>
            </w:r>
          </w:p>
        </w:tc>
        <w:tc>
          <w:tcPr>
            <w:tcW w:type="dxa" w:w="116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Остаток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Спуфинг сигнала L1 (generated)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TESLA MAC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85 %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Узкополосное глушение L5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3,5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Антенный nulling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T04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Backdoor в ПО SSR-расчёта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Code-signing, аудит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1,00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Компрометация цепочки поставок ПО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3,0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Trusted supplier, SBOM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70 %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0,90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T19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Фальсификация приёмников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2,1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Аттестация, сертификация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55 %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0,95</w:t>
            </w:r>
          </w:p>
        </w:tc>
      </w:tr>
      <w:tr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  <w:tc>
          <w:tcPr>
            <w:tcW w:type="dxa" w:w="116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...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Суммарный риск: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36,9 (raw) → </w:t>
      </w:r>
      <w:r>
        <w:rPr>
          <w:rFonts w:ascii="Times New Roman" w:hAnsi="Times New Roman"/>
          <w:b/>
          <w:i w:val="0"/>
          <w:color w:val="000000"/>
          <w:sz w:val="28"/>
        </w:rPr>
        <w:t>10,8 (residual)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= снижение на </w:t>
      </w:r>
      <w:r>
        <w:rPr>
          <w:rFonts w:ascii="Times New Roman" w:hAnsi="Times New Roman"/>
          <w:b/>
          <w:i w:val="0"/>
          <w:color w:val="000000"/>
          <w:sz w:val="28"/>
        </w:rPr>
        <w:t>70,7 %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после применения 15 контрмер.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60.3  Архитектура защиты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Аутентификация сигнала: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TESLA MAC на ГОСТ — HMAC-Стрибог 128 бит, цепочка «Стрибог-256», ЭП корня ГОСТ Р 34.10-2012, rotation 30 с (§16)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Защита TT&amp;C: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шифрование и имитозащита команд на «Кузнечик» (ГОСТ Р 34.12-2015) в режиме MGM (ГОСТ Р 34.13-2015), TLS 1.3 с ГОСТ-наборами шифров, TTP-сервер для аплинков (§16.4)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MCS: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изоляция КИИ-1, физический воздушный зазор для критичных серверов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HSM (Hardware Security Module):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аппаратные ключи на борту + в MCS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Аудит: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SBOM (Software Bill of Materials) для всего ПО, code-signing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SOC: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круглосуточный мониторинг событий безопасности (см. §56.4)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60.4  Соответствие нормативке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ФЗ-187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(КИИ) — категория </w:t>
      </w:r>
      <w:r>
        <w:rPr>
          <w:rFonts w:ascii="Times New Roman" w:hAnsi="Times New Roman"/>
          <w:b/>
          <w:i w:val="0"/>
          <w:color w:val="000000"/>
          <w:sz w:val="28"/>
        </w:rPr>
        <w:t>КИИ-1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ФСТЭК приказ 239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защита значимых объектов КИИ от компьютерных атак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ФСБ ОК-Б Тип-2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криптографические средства (Кузнечик 256, Стрибог 256)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ИКАО Annex 17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авиационная безопасность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127248"/>
            <wp:docPr id="177" name="Picture 1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threat_tree_phase5.png"/>
                    <pic:cNvPicPr/>
                  </pic:nvPicPr>
                  <pic:blipFill>
                    <a:blip r:embed="rId186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127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177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Дерево угроз по сегментам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316778"/>
            <wp:docPr id="178" name="Picture 1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isk_matrix_phase5.png"/>
                    <pic:cNvPicPr/>
                  </pic:nvPicPr>
                  <pic:blipFill>
                    <a:blip r:embed="rId18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316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178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Матрица риска P×I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3040380"/>
            <wp:docPr id="179" name="Picture 1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countermeasures_phase5.png"/>
                    <pic:cNvPicPr/>
                  </pic:nvPicPr>
                  <pic:blipFill>
                    <a:blip r:embed="rId18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403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179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Эффективность контрмер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80" name="Picture 1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yber_residual_risk_phase5.png"/>
                    <pic:cNvPicPr/>
                  </pic:nvPicPr>
                  <pic:blipFill>
                    <a:blip r:embed="rId18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180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Остаточный риск до/после мер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61  ПРОГРАММНОЕ ОБЕСПЕЧЕНИЕ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61.1  Архитектура бортового ПО (BSW)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┌──────────────────────────────────────────────────────────────┐</w:t>
        <w:br/>
        <w:t>│           Уровень приложений (Application Layer)              │</w:t>
        <w:br/>
        <w:t>│  ┌────────────┐ ┌────────────┐ ┌────────────┐ ┌────────────┐ │</w:t>
        <w:br/>
        <w:t>│  │ NAV-app    │ │ AOCS-app   │ │ ISL-app    │ │ TLM-app    │ │</w:t>
        <w:br/>
        <w:t>│  │ (PNT-msg)  │ │ (control)  │ │ (ranging)  │ │ (down/up)  │ │</w:t>
        <w:br/>
        <w:t>│  └────────────┘ └────────────┘ └────────────┘ └────────────┘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     Системные службы (System Services)               │</w:t>
        <w:br/>
        <w:t>│  ┌─────┐ ┌──────┐ ┌──────┐ ┌──────┐ ┌──────┐ ┌──────┐       │</w:t>
        <w:br/>
        <w:t>│  │FDIR │ │ Clk  │ │ MEM  │ │ DTM  │ │ Cmd  │ │ Sec  │       │</w:t>
        <w:br/>
        <w:t>│  │     │ │ Sync │ │ Mgr  │ │ Sched│ │ Hand │ │ HSM  │       │</w:t>
        <w:br/>
        <w:t>│  └─────┘ └──────┘ └──────┘ └──────┘ └──────┘ └──────┘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RTOS — Real-Time Operating System                     │</w:t>
        <w:br/>
        <w:t>│       (RTEMS / FreeRTOS-rad-hard / отеч. ОСРВ «Багет»)        │</w:t>
        <w:br/>
        <w:t>├──────────────────────────────────────────────────────────────┤</w:t>
        <w:br/>
        <w:t>│         BSP — Board Support Package                           │</w:t>
        <w:br/>
        <w:t>│         (LEON3-FT / отеч. БЦВМ «Багет-83»)                     │</w:t>
        <w:br/>
        <w:t>└──────────────────────────────────────────────────────────────┘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Компонент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Язык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NAV-app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Формирование L1/L5 нав. сообщения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AOCS-app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Управление ориентацией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ISL-app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Межспутниковые измерения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FDIR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Обнаружение и восстановление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C, Ada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RTOS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Планировщик задач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~50 (готовый)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бортовое 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~140 kSLOC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61.2  Архитектура наземного ПО</w:t>
      </w:r>
    </w:p>
    <w:p>
      <w:pPr>
        <w:spacing w:lineRule="auto" w:line="240" w:before="80" w:after="80"/>
        <w:ind w:firstLine="0" w:left="567"/>
        <w:jc w:val="left"/>
        <w:shd w:val="clear" w:fill="F2F2F2"/>
      </w:pPr>
      <w:r>
        <w:rPr>
          <w:rFonts w:ascii="Courier New" w:hAnsi="Courier New"/>
          <w:color w:val="00008B"/>
          <w:sz w:val="18"/>
        </w:rPr>
        <w:t>┌─────────────────────────────────────────────────────────────┐</w:t>
        <w:br/>
        <w:t>│                     Пользователи / БРЛ                       │</w:t>
        <w:br/>
        <w:t>│   (web-консоль, мобильное приложение, API клиенты)           │</w:t>
        <w:br/>
        <w:t>└──────────────────────────┬──────────────────────────────────┘</w:t>
        <w:br/>
        <w:t xml:space="preserve">                           │ HTTPS, gRPC</w:t>
        <w:br/>
        <w:t>┌──────────────────────────▼──────────────────────────────────┐</w:t>
        <w:br/>
        <w:t>│                  MCS Application Layer                       │</w:t>
        <w:br/>
        <w:t>│  ┌──────┐ ┌──────┐ ┌──────┐ ┌──────┐ ┌──────┐ ┌──────┐    │</w:t>
        <w:br/>
        <w:t>│  │ OD   │ │ Clk  │ │ SSR  │ │ Plan │ │ Mon  │ │ Sec  │    │</w:t>
        <w:br/>
        <w:t>│  │ Calc │ │ Calc │ │ Gen  │ │ ner  │ │ itor │ │ ops  │    │</w:t>
        <w:br/>
        <w:t>│  └──────┘ └──────┘ └──────┘ └──────┘ └──────┘ └──────┘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     Очереди сообщений и кэш                         │</w:t>
        <w:br/>
        <w:t>│            (Kafka / Redis / PostgreSQL)                      │</w:t>
        <w:br/>
        <w:t>├─────────────────────────────────────────────────────────────┤</w:t>
        <w:br/>
        <w:t>│         Адаптеры внешних систем                              │</w:t>
        <w:br/>
        <w:t>│  ┌──────────┐ ┌──────────┐ ┌──────────┐ ┌──────────┐       │</w:t>
        <w:br/>
        <w:t>│  │ TT&amp;C/RF  │ │ RSN-net  │ │ SLR int. │ │ External │       │</w:t>
        <w:br/>
        <w:t>│  │ gateways │ │ DBs      │ │ data     │ │ GNSS feed│       │</w:t>
        <w:br/>
        <w:t>│  └──────────┘ └──────────┘ └──────────┘ └──────────┘       │</w:t>
        <w:br/>
        <w:t>└─────────────────────────────────────────────────────────────┘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Объём (kSLOC)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Стек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OD (orbit determination)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~40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Fortran (числ. методы)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Clock estimation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SSR generator (PPP-RTK поправки)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~30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Plannig / scheduling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Monitoring / alerts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Python + Grafana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API gateway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~10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Go / Rust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Web UI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TypeScript + React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Итого наземное ПО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~160 kSLOC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61.3  Требования к безопасности ПО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Бортовое ПО — стандарт </w:t>
      </w:r>
      <w:r>
        <w:rPr>
          <w:rFonts w:ascii="Times New Roman" w:hAnsi="Times New Roman"/>
          <w:b/>
          <w:i w:val="0"/>
          <w:color w:val="000000"/>
          <w:sz w:val="28"/>
        </w:rPr>
        <w:t>DO-178C уровень B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/>
          <w:b/>
          <w:i w:val="0"/>
          <w:color w:val="000000"/>
          <w:sz w:val="28"/>
        </w:rPr>
        <w:t>ECSS-E-ST-40C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Cat. B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Наземное ПО — соответствие </w:t>
      </w:r>
      <w:r>
        <w:rPr>
          <w:rFonts w:ascii="Times New Roman" w:hAnsi="Times New Roman"/>
          <w:b/>
          <w:i w:val="0"/>
          <w:color w:val="000000"/>
          <w:sz w:val="28"/>
        </w:rPr>
        <w:t>ГОСТ Р 56939-2016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(разработка безопасного ПО)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Криптография — </w:t>
      </w:r>
      <w:r>
        <w:rPr>
          <w:rFonts w:ascii="Times New Roman" w:hAnsi="Times New Roman"/>
          <w:b/>
          <w:i w:val="0"/>
          <w:color w:val="000000"/>
          <w:sz w:val="28"/>
        </w:rPr>
        <w:t>ГОСТ Р 34.12-2015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(Кузнечик), </w:t>
      </w:r>
      <w:r>
        <w:rPr>
          <w:rFonts w:ascii="Times New Roman" w:hAnsi="Times New Roman"/>
          <w:b/>
          <w:i w:val="0"/>
          <w:color w:val="000000"/>
          <w:sz w:val="28"/>
        </w:rPr>
        <w:t>34.11-2018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(Стрибог)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Build process — reproducible builds, SBOM генерация автоматически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61.4  План разработки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Этап ПО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Длительность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Параллельно с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Артефакты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Архитектура (SAD, SDS)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Кодирование BSW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18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ОКР рабоч. док.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Source, unit tests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Unit + integration tests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Производство ОП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Test reports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Качественные испытания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12 мес.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Квалиф. КА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QR report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Сопровождение в эксплуатации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7+ лет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Штатная эксплуатация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Patches, hot-fixes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61.5  Связанные ОКР-документы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Детальные интерфейсные и архитектурные документы для перехода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от ТП к ОКР: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Статус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[docs/SAD_AURORA.md](docs/SAD_AURORA.md)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Software Architecture Document (детальная арх. БС+НС, 506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[docs/ICD_SIS_AURORA-001.md](docs/ICD_SIS_AURORA-001.md)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Signal-in-Space ICD (РЧ, модуляция, ANAV, TESLA, 427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[docs/ICD_ISL_AURORA-002.md](docs/ICD_ISL_AURORA-002.md)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Inter-Satellite Link ICD (Ka 26,5 ГГц, TWTFT, 397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[docs/ICD_TTC_AURORA-003.md](docs/ICD_TTC_AURORA-003.md)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TT&amp;C ICD (S-band, CCSDS, ГОСТ-крипто, 429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[docs/TZ_AURORA.md](docs/TZ_AURORA.md)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Техническое задание (ГОСТ 19.201-78, 450 стр.)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Draft v0.9</w:t>
            </w:r>
          </w:p>
        </w:tc>
      </w:tr>
    </w:tbl>
    <w:p>
      <w:pPr>
        <w:spacing w:lineRule="auto" w:line="240" w:before="0" w:after="120"/>
        <w:ind w:firstLine="0"/>
      </w:pP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62  МАТРИЦА СООТВЕТСТВИЯ СТАНДАРТАМ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62.1  Стандарты, применённые в проекте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Раздел проекта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Менеджмент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15.000-2016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§55 (СТ), §58 (план)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§58, 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ECSS-M-ST-80C (риски)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ISO 31000 (риск-менеджмент)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§57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Системная инженерия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ECSS-E-ST-10-02C (V&amp;V)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§59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Космическая среда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ECSS-E-ST-10-04C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 (радиация)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 AP8/AE8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CREME96 (космические частицы)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Часы / время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TF.686-3 (Allan dev)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BIPM CCTF-2018 (UTC)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8.567-2014 (точность врем.)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IEEE 1588-2019 (PTP)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 (наземная раздача времени)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IETF NTPv5 (draft)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§28.4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Сигналы / навигация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IS-GPS-200K (GPS L1/L5 ICD)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 (совместимость)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Galileo OS-SIS-ICD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M.1787 (RNSS)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RTCA DO-229E (SBAS MOPS)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§24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 Annex 10 Vol 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2018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§49, §50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Целостность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EU-US ARAIM WG-C report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GEAS Phase II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§49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Радио-регулирование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Radio Regulations МСЭ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S.1340 (PFD limits)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Регламент радиосвязи РФ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Орбитальный мусор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IADC 02-01 «25 years»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2007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UN COPUOS 2010 mitigation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NASA-STD-8719.14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2020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§22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Надёжность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MIL-HDBK-217F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1991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ECSS-Q-ST-30C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§35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DO-178C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2011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ECSS-E-ST-40C (косм.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56939-2016 (безоп. ПО)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§61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Безопасность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ФЗ-187 «О безопасности КИИ»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 приказ 239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§60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Криптография (ГОСТ)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34.11-2012 (Стрибог, хэш)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§16.2 (цепочка TESLA)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34.10-2012 (ЭП)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2012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§16.5 (подпись корня)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34.12-2015 (Кузнечик, шифр)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§16.4, §60 (TT&amp;C)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34.13-2015 (режимы работы)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§16.4 (MGM команд)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Радиочастоты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51725-2019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ГОСТ-документация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2.105-2019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Весь документ (формат)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7.32-2017 (отчёты НИР)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Структура отчёта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7.0.97-2016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2016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Оформление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62.2  Сводка соответствия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117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Группа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Стандартов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Применено в проекте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Соответствие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ГОСТ Р (РФ)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ECSS (Европа)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базовые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Применимо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ICAO/RTCA (авиа)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по интеграции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Совместимо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ITU-R (радио)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обязательные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Согласовано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ФСТЭК/ФСБ (КИИ)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ключевые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Полное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ESA/NASA (среда)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Все применимые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Принято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Вывод по соответствию: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соответствует всем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ключевым международным и российским стандартам для создания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системы спутниковой навигации с интеграцией в гражд. авиацию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и категорированием КИИ-1.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63 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63.1  Где находится резерв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Точность позиционирования определяется произведением геометрии и дальностной ошибки, </w:t>
      </w:r>
      <w:r>
        <w:rPr>
          <w:rFonts w:ascii="Courier New" w:hAnsi="Courier New"/>
          <w:b w:val="0"/>
          <w:i w:val="0"/>
          <w:color w:val="000000"/>
          <w:sz w:val="28"/>
        </w:rPr>
        <w:t>H-95 = 2 · HDOP · UERE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(§12.3), а для дециметрового и сантиметрового уровня — отдельным «этажом» фазовой обработки. Бюджет UERE двухчастотного пользователя (§37.3) показывает, что резерв точности лежит </w:t>
      </w:r>
      <w:r>
        <w:rPr>
          <w:rFonts w:ascii="Times New Roman" w:hAnsi="Times New Roman"/>
          <w:b/>
          <w:i w:val="0"/>
          <w:color w:val="000000"/>
          <w:sz w:val="28"/>
        </w:rPr>
        <w:t>не в шуме псевдодальности</w:t>
      </w:r>
      <w:r>
        <w:rPr>
          <w:rFonts w:ascii="Times New Roman" w:hAnsi="Times New Roman"/>
          <w:b w:val="0"/>
          <w:i w:val="0"/>
          <w:color w:val="000000"/>
          <w:sz w:val="28"/>
        </w:rPr>
        <w:t>, а в двух доминирующих составляющих: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118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Источник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Доля дисперсии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радиальные (транслируемые)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45 %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Тропосфера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27 %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Часы КА (остаток прогноза CSAC)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Многолучёвость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9 %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Эфемериды вдоль/поперёк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Шум приёмника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5 %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Ионосфера (двухчастотный остаток)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0,5 %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Орбитальное определение для LEO усложнено быстрой динамикой и остаточным торможением, но сама орбита </w:t>
      </w:r>
      <w:r>
        <w:rPr>
          <w:rFonts w:ascii="Times New Roman" w:hAnsi="Times New Roman"/>
          <w:b/>
          <w:i w:val="0"/>
          <w:color w:val="000000"/>
          <w:sz w:val="28"/>
        </w:rPr>
        <w:t>определяется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до 5–19 см (§47); в навигационное сообщение, однако, уходит прогноз 0,45 м. Именно этот разрыв «определённая — транслируемая орбита», а также немоделируемая тропосфера, и составляют основной резерв.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63.2  Сценарии повышения точности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Рассмотрены четыре кумулятивных мероприятия. Первые три снижают дальностный бюджет UERE, четвёртое (фазовый PPP-RTK) формирует отдельный сантиметровый уровень, не сводимый к среднеквадратичной сумме псевдодальности: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S1 — SSR/PPP-коррекции орбиты и часов (state-space) + фазовая ISL-дальность.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Раздача пользователю орбиты и часов, близких к определённым; радиальная эфемерида 0,45 → 0,10 м, вдоль/поперёк 0,15 → 0,05 м. Требует частого обновления (короткая прогнозная дуга — критично для LEO) и фазовых ISL-измерений (§9.4).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S2 — оценка тропосферы как состояния фильтра (ZWD) + ГНСС-метео аугментация.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Тропосфера 0,35 → 0,10 м. Высокие углы возвышения LEO дополнительно снижают тропосферный множитель.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S3 — расширение парка space-Rb за пределы 15 якорей и более частая ISL-синхронизация.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Остаток часов 0,20 → 0,10 м.</w:t>
      </w:r>
    </w:p>
    <w:p>
      <w:pPr>
        <w:spacing w:lineRule="auto" w:line="360" w:before="0" w:after="0"/>
        <w:ind w:left="70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/>
          <w:i w:val="0"/>
          <w:color w:val="000000"/>
          <w:sz w:val="28"/>
        </w:rPr>
        <w:t>S4 — фазовый PPP-RTK с разрешением неоднозначности (§44).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Сантиметровый уровень после сходимости. Ключевое преимущество низкой орбиты — быстрая смена геометрии — ускоряет сходимость и фиксацию неоднозначностей (минуты против десятков минут у MEO, §36).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Количественный результат (комбинированный с ГЛОНАСС режим, HDOP = 0,9):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119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Сценарий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UERE, 1σ (м)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H-95 (м)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S0. Базовый (транслируемая эфемерида)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0,67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1,21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S1. + SSR/PPP орбита+часы, фазовая ISL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0,49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0,88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S2. + оценка тропосферы (ZWD) и метео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0,64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S3. + space-Rb сверх 15 якорей, ISL-синхронизация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0,31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0,56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S4. Фазовый PPP-RTK (после сходимости)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—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0,15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282213"/>
            <wp:docPr id="181" name="Picture 1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uracy_paths_phase4.png"/>
                    <pic:cNvPicPr/>
                  </pic:nvPicPr>
                  <pic:blipFill>
                    <a:blip r:embed="rId19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2822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181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Пути повышения точности позиционирования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63.3  Приоритеты и связь с архитектурой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Наибольший эффект на дальностном уровне даёт </w:t>
      </w:r>
      <w:r>
        <w:rPr>
          <w:rFonts w:ascii="Times New Roman" w:hAnsi="Times New Roman"/>
          <w:b/>
          <w:i w:val="0"/>
          <w:color w:val="000000"/>
          <w:sz w:val="28"/>
        </w:rPr>
        <w:t>S1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(орбита: 45 % дисперсии): UERE снижается 0,67 → 0,49 м без изменения бортового сегмента — только за счёт наземной инфраструктуры коррекций и темпа их раздачи. Совместно S1–S3 уводят UERE с 0,67 до 0,31 м, а H-95 — с 1,21 до 0,56 м. Переход к </w:t>
      </w:r>
      <w:r>
        <w:rPr>
          <w:rFonts w:ascii="Times New Roman" w:hAnsi="Times New Roman"/>
          <w:b/>
          <w:i w:val="0"/>
          <w:color w:val="000000"/>
          <w:sz w:val="28"/>
        </w:rPr>
        <w:t>дециметру и сантиметру обеспечивает только фаза (S4)</w:t>
      </w:r>
      <w:r>
        <w:rPr>
          <w:rFonts w:ascii="Times New Roman" w:hAnsi="Times New Roman"/>
          <w:b w:val="0"/>
          <w:i w:val="0"/>
          <w:color w:val="000000"/>
          <w:sz w:val="28"/>
        </w:rPr>
        <w:t>: псевдодальностный бюджет имеет принципиальный предел.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Это согласуется с позиционированием системы (§37.2, §41): конкурентное преимущество АВРОРА — не точность одной псевдодальности, а геометрия комбинированного режима, мощный сигнал и быстрая PPP-сходимость. Мероприятия S1–S4 реализуются преимущественно в наземном сегменте (§54) и пользовательском ПО (§61), не требуя пересмотра орбитальной группировки, и могут вводиться поэтапно по мере развёртывания сети коррекций.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64  ГЕОДЕЗИЧЕСКАЯ СИСТЕМА ОТСЧЁТА И ПАРАМЕТРЫ ВРАЩЕНИЯ ЗЕМЛИ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64.1  Пространственный датум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Координатная основа АВРОРА — государственная геодезическая система </w:t>
      </w:r>
      <w:r>
        <w:rPr>
          <w:rFonts w:ascii="Times New Roman" w:hAnsi="Times New Roman"/>
          <w:b/>
          <w:i w:val="0"/>
          <w:color w:val="000000"/>
          <w:sz w:val="28"/>
        </w:rPr>
        <w:t>ПЗ-90.11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(«Параметры Земли 1990», уточнение 2011 г.), та же, что у ГЛОНАСС. Это требование суверенности и совместимости с национальной геодезической инфраструктурой. Положения КА, эфемериды и решение пользователя выражаются в ПЗ-90.11; шкала времени — UTC(SU)/системное время АВРОРА (§28), парная пространственному датуму.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ПЗ-90.11 реализуется набором опорных координат пунктов государственной геодезической сети и поддерживается наземным сегментом (§54). Без определённого датума координаты выхода системы не определены — поэтому датум фиксируется как часть интерфейса системы.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64.2  Трансформации к ITRF и WGS-84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ПЗ-90.11 целенаправленно совмещён с международной системой </w:t>
      </w:r>
      <w:r>
        <w:rPr>
          <w:rFonts w:ascii="Times New Roman" w:hAnsi="Times New Roman"/>
          <w:b/>
          <w:i w:val="0"/>
          <w:color w:val="000000"/>
          <w:sz w:val="28"/>
        </w:rPr>
        <w:t>ITRF2008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преобразование сводится практически к одному сдвигу (по официальным данным ГЛОНАСС ИКД и материалам ИКГ ООН):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120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Значение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Примечание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ΔX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+0,003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X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ΔY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Y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+0,001 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сдвиг по Z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Вращения ωx, ωy, ωz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незначимы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Масштаб m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≈ 0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незначим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7-параметрическое преобразование Гельмерта: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r_ITRF = T + (1+m) R(ω_x,ω_y,ω_z) r_PZ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(64.156)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Полный сдвиг между ПЗ-90.11 и ITRF2008 составляет </w:t>
      </w:r>
      <w:r>
        <w:rPr>
          <w:rFonts w:ascii="Times New Roman" w:hAnsi="Times New Roman"/>
          <w:b/>
          <w:i w:val="0"/>
          <w:color w:val="000000"/>
          <w:sz w:val="28"/>
        </w:rPr>
        <w:t>|Δr| ≈ 3 мм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. Поскольку WGS-84 (G1762) и Galileo GTRF также согласованы с ITRF2008 на сантиметровом уровне, координатная основа АВРОРА </w:t>
      </w:r>
      <w:r>
        <w:rPr>
          <w:rFonts w:ascii="Times New Roman" w:hAnsi="Times New Roman"/>
          <w:b/>
          <w:i w:val="0"/>
          <w:color w:val="000000"/>
          <w:sz w:val="28"/>
        </w:rPr>
        <w:t>совместима с ГЛОНАСС, GPS и Galileo без потери точности на трансформации</w:t>
      </w:r>
      <w:r>
        <w:rPr>
          <w:rFonts w:ascii="Times New Roman" w:hAnsi="Times New Roman"/>
          <w:b w:val="0"/>
          <w:i w:val="0"/>
          <w:color w:val="000000"/>
          <w:sz w:val="28"/>
        </w:rPr>
        <w:t>. Это критично для комбинированного режима (§29) и PPP-RTK (§44).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64.3  Параметры вращения Земли (EOP)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Для перехода между инерциальной (ECI) и связанной с Землёй (ECEF) системами в реальном времени необходимы прогнозируемые </w:t>
      </w:r>
      <w:r>
        <w:rPr>
          <w:rFonts w:ascii="Times New Roman" w:hAnsi="Times New Roman"/>
          <w:b/>
          <w:i w:val="0"/>
          <w:color w:val="000000"/>
          <w:sz w:val="28"/>
        </w:rPr>
        <w:t>параметры вращения Земли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: разность </w:t>
      </w:r>
      <w:r>
        <w:rPr>
          <w:rFonts w:ascii="Times New Roman" w:hAnsi="Times New Roman"/>
          <w:b/>
          <w:i w:val="0"/>
          <w:color w:val="000000"/>
          <w:sz w:val="28"/>
        </w:rPr>
        <w:t>UT1−UTC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и координаты полюса </w:t>
      </w:r>
      <w:r>
        <w:rPr>
          <w:rFonts w:ascii="Times New Roman" w:hAnsi="Times New Roman"/>
          <w:b/>
          <w:i w:val="0"/>
          <w:color w:val="000000"/>
          <w:sz w:val="28"/>
        </w:rPr>
        <w:t>(xp, yp)</w:t>
      </w:r>
      <w:r>
        <w:rPr>
          <w:rFonts w:ascii="Times New Roman" w:hAnsi="Times New Roman"/>
          <w:b w:val="0"/>
          <w:i w:val="0"/>
          <w:color w:val="000000"/>
          <w:sz w:val="28"/>
        </w:rPr>
        <w:t>. Ошибка их прогноза разворачивает земную систему и даёт позиционную ошибку:</w:t>
      </w:r>
    </w:p>
    <w:p>
      <w:pPr>
        <w:spacing w:lineRule="auto" w:line="288" w:before="120" w:after="120"/>
        <w:ind w:firstLine="0"/>
        <w:jc w:val="center"/>
      </w:pPr>
      <w:r>
        <w:rPr>
          <w:rFonts w:ascii="Courier New" w:hAnsi="Courier New"/>
          <w:color w:val="000000"/>
          <w:sz w:val="24"/>
        </w:rPr>
        <w:t>δ r_UT1 ≈ R_⊕ ω_⊕ δ(UT1), δ r_pole ≈ R_⊕ δθ_pole</w:t>
      </w:r>
    </w:p>
    <w:p>
      <w:pPr>
        <w:spacing w:lineRule="auto" w:line="240" w:before="0" w:after="120"/>
        <w:ind w:firstLine="0"/>
        <w:jc w:val="right"/>
      </w:pPr>
      <w:r>
        <w:rPr>
          <w:rFonts w:ascii="Times New Roman" w:hAnsi="Times New Roman"/>
          <w:b w:val="0"/>
          <w:i w:val="0"/>
          <w:color w:val="000000"/>
          <w:sz w:val="28"/>
        </w:rPr>
        <w:t>(64.157)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Ошибка прогноза UT1−UTC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UT1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Вклад полюса (3 mas)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Суммарно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0,02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0,05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0,10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0,13 м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0,50 мс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0,23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0,09 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0,25 м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При оперативном обновлении EOP (UT1 прогнозируется с ошибкой ≤ 0,1 мс, полюс ≤ 3 mas) вклад в позиционную ошибку удерживается в пределах </w:t>
      </w:r>
      <w:r>
        <w:rPr>
          <w:rFonts w:ascii="Times New Roman" w:hAnsi="Times New Roman"/>
          <w:b/>
          <w:i w:val="0"/>
          <w:color w:val="000000"/>
          <w:sz w:val="28"/>
        </w:rPr>
        <w:t>≈ 0,1 м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допустимо относительно бюджета UERE (§37.3). EOP принимаются от службы IERS и государственной службы времени и частоты, ретранслируются наземным сегментом (§54).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60012"/>
            <wp:docPr id="182" name="Picture 1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_frame_phase4.png"/>
                    <pic:cNvPicPr/>
                  </pic:nvPicPr>
                  <pic:blipFill>
                    <a:blip r:embed="rId19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60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182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Геодезическая система отсчёта и EOP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64.4  Реализация и поддержание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Датум и EOP — часть интерфейса «наземный сегмент — пользователь»: наземный сегмент (§54) ведёт реализацию ПЗ-90.11, принимает и прогнозирует EOP, формирует трансформационные параметры и доводит их до пользователя. Согласованность пространственного датума и шкалы времени (§28) обеспечивает корректность POD (§47) и решения PVT (§45).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65  ДВУХСЕРВИСНАЯ АРХИТЕКТУРА СИГНАЛОВ (ОТКРЫТЫЙ А / ЗАЩИЩЁННЫЙ Б)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65.1  Принцип: два сервиса с одной группировки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АВРОРА формирует с одной группировки (1000 км) </w:t>
      </w:r>
      <w:r>
        <w:rPr>
          <w:rFonts w:ascii="Times New Roman" w:hAnsi="Times New Roman"/>
          <w:b/>
          <w:i w:val="0"/>
          <w:color w:val="000000"/>
          <w:sz w:val="28"/>
        </w:rPr>
        <w:t>два независимых навигационных сервиса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 разными полосами и регуляторными режимами по плотности потока мощности (ПФП). Это снимает фундаментальное противоречие «совместимость с GPS ↔ высокая мощность»: его нельзя удовлетворить одним сигналом (§43), но можно — двумя.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 — открытый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 — защищённый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Полоса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L1/L5 RNSS (наложение на GPS/Galileo)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выделенная L-полоса АВРОРА (первичный статус)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Режим ПФП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маска МСЭ-R −121,5 дБВт/м²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собственная полоса (как Xona/Iridium)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по сигналу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Приёмник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GNSS-совместимый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специальный приёмник АВРОРА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Назначение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масс-маркет, комбинир. с ГЛОНАСС, интероп.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помехозащита, помещения, суверенный аутентиф. PNT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65.2  Бюджеты и ПФП обоих сервисов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123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А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Сервис 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Мощность ПРД (L1)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 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30 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Усиление антенны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+3,5 дБи (изо-flux)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+8 дБи (изо-flux, фаз. решётка)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EIRP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+9 дБВт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+21,3 дБВт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ПФП у поверхности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−122 дБВт/м² (</w:t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комплаенс МСЭ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−110 дБВт/м² (своя полоса)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Принимаемая мощность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−119 дБм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−107 дБм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C/N₀ (зенит)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53 дБ·Гц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65 дБ·Гц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Преимущество над MEO-ГНСС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Запас помехозащиты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×11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×200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Ключевой момент: </w:t>
      </w:r>
      <w:r>
        <w:rPr>
          <w:rFonts w:ascii="Times New Roman" w:hAnsi="Times New Roman"/>
          <w:b/>
          <w:i w:val="0"/>
          <w:color w:val="000000"/>
          <w:sz w:val="28"/>
        </w:rPr>
        <w:t>орбиту снижать не требуется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— Сервис Б достигает +23 дБ за счёт собственной полосы и повышенного EIRP (30 Вт + 8 дБи), а не приближения к Земле. Сервис А остаётся строго под маской ПФП МСЭ (§43), сохраняя совместимость и непомеху для GPS/ГЛОНАСС/Galileo.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65.3  Позиционирование относительно конкурентов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Система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Преимущество над GPS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Орбита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GPS/ГЛОНАСС (MEO)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0 (референс)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~20 000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Сервис 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+11 дБ (×11)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RNSS (совместимый)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Xona PULSAR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+20 дБ (×100)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~550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L/C-полоса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АВРОРА Сервис Б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+23 дБ (×200)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1000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своя L-полоса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Iridium STL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+30 дБ (×1000)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780 км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MSS-полоса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Сервис Б ставит АВРОРА в один ряд с Xona и Iridium STL по силе сигнала и помехозащите, </w:t>
      </w:r>
      <w:r>
        <w:rPr>
          <w:rFonts w:ascii="Times New Roman" w:hAnsi="Times New Roman"/>
          <w:b/>
          <w:i w:val="0"/>
          <w:color w:val="000000"/>
          <w:sz w:val="28"/>
        </w:rPr>
        <w:t>не снижая орбиту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(выигрыш в покрытии/числе КА). При этом конкуренты дают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мощный сигнал в своей полосе (Xona/Iridium), </w:t>
      </w:r>
      <w:r>
        <w:rPr>
          <w:rFonts w:ascii="Times New Roman" w:hAnsi="Times New Roman"/>
          <w:b/>
          <w:i w:val="0"/>
          <w:color w:val="000000"/>
          <w:sz w:val="28"/>
        </w:rPr>
        <w:t>либо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GNSS-совместимость (MEO) — </w:t>
      </w:r>
      <w:r>
        <w:rPr>
          <w:rFonts w:ascii="Times New Roman" w:hAnsi="Times New Roman"/>
          <w:b/>
          <w:i w:val="0"/>
          <w:color w:val="000000"/>
          <w:sz w:val="28"/>
        </w:rPr>
        <w:t>АВРОРА уникально даёт оба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сервиса с одной группировки.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65.4  Влияние на платформу и применение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Сервис Б повышает энергопотребление полезной нагрузки (доп. ~30 Вт РЧ → ~75 Вт DC), что учтено в энергобюджете (§18). Аутентификация ГОСТ (§16) и приоритет помехозащиты делают Сервис Б основой для критических и суверенных потребителей (госструктуры, транспорт, оборона, синхронизация КИИ), тогда как Сервис А обслуживает массовый рынок и работает в комбинированном режиме с ГЛОНАСС. Модель — </w:t>
      </w:r>
      <w:r>
        <w:rPr>
          <w:rFonts w:ascii="Courier New" w:hAnsi="Courier New"/>
          <w:b w:val="0"/>
          <w:i w:val="0"/>
          <w:color w:val="7B0000"/>
          <w:sz w:val="22"/>
        </w:rPr>
        <w:t>aurora/pnt/dual_service.py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(CLI </w:t>
      </w:r>
      <w:r>
        <w:rPr>
          <w:rFonts w:ascii="Courier New" w:hAnsi="Courier New"/>
          <w:b w:val="0"/>
          <w:i w:val="0"/>
          <w:color w:val="7B0000"/>
          <w:sz w:val="22"/>
        </w:rPr>
        <w:t>dual-service</w:t>
      </w:r>
      <w:r>
        <w:rPr>
          <w:rFonts w:ascii="Times New Roman" w:hAnsi="Times New Roman"/>
          <w:b w:val="0"/>
          <w:i w:val="0"/>
          <w:color w:val="000000"/>
          <w:sz w:val="28"/>
        </w:rPr>
        <w:t>).</w:t>
      </w:r>
    </w:p>
    <w:p>
      <w:pPr>
        <w:spacing w:lineRule="auto" w:line="240" w:before="16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212080" cy="2138498"/>
            <wp:docPr id="183" name="Picture 1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ual_service_phase4.png"/>
                    <pic:cNvPicPr/>
                  </pic:nvPicPr>
                  <pic:blipFill>
                    <a:blip r:embed="rId19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1384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240" w:before="40" w:after="24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4"/>
        </w:rPr>
        <w:t>Рисунок 183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 — Двухсервисная архитектура: сигнал и ПФП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66  ВЫВОДЫ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66.1  Ключевые результаты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Созвездие 300 КА Walker 300/15/1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орбите 1000 км / 75° обеспечивает: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100% глобальное покрытие при N_vis ≥ 4 (PDOP&lt;6 на 97,3% времени)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PDOP p95: 5,0 (автономный) / 1,67 (комбинир. с ГЛОНАСС); среднее 2,8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Доступность &gt; 99,9% для всех регионов выше 20° с.ш.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Мощность сигнала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на +23 дБ выше ГЛОНАСС (MEO) делает АВРОРА: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В 200× более устойчивым к подавлению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Работоспособным в условиях городского каньона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Пригодным для применений в закрытых помещениях (с ретрансляторами)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Точность синхронизации: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Наземный H-мазер Ч1-1008 (ВРЕМЯ-Ч): эталон UTC(SU); бортовой CSAC дисциплинируется по ISL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CSAC-терминал через 6 ISL-хопов: 2,73 нс (худший случай)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UTC(SU) цель 5 нс — достигается на всех уровнях цепочки (проверено §8.6)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Двухчастотная коррекция L1+L5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устраняет ионосферу, обеспечивая: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UERE ≈ 0,7 м (L1+L5, до 1,0 м у терминала, §8.6)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H-95% ≈ 1,5 м (комбинир. с ГЛОНАСС) / 3–5 м (автономный)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/>
          <w:i w:val="0"/>
          <w:color w:val="000000"/>
          <w:sz w:val="28"/>
        </w:rPr>
        <w:t>Целостность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(RAIM):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При N_vis ≈ 14 (7–22 по широте) RAIM доступен с вероятностью &gt; 99,999%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Поддержка CAT-I авиационных операций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/>
          <w:i w:val="0"/>
          <w:color w:val="000000"/>
          <w:sz w:val="28"/>
        </w:rPr>
        <w:t>Устойчивость: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Функционирование при 40% отказов КА</w:t>
      </w:r>
    </w:p>
    <w:p>
      <w:pPr>
        <w:spacing w:lineRule="auto" w:line="360" w:before="0" w:after="0"/>
        <w:ind w:left="1049" w:hanging="283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– </w:t>
      </w:r>
      <w:r>
        <w:rPr>
          <w:rFonts w:ascii="Times New Roman" w:hAnsi="Times New Roman"/>
          <w:b w:val="0"/>
          <w:i w:val="0"/>
          <w:color w:val="000000"/>
          <w:sz w:val="28"/>
        </w:rPr>
        <w:t>72+ часов автономности через ISL-сетку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66.2  Критические технические риски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125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338"/>
        <w:gridCol w:w="2338"/>
        <w:gridCol w:w="2338"/>
        <w:gridCol w:w="2338"/>
      </w:tblGrid>
      <w:tr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Риск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Вероятность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Влияние</w:t>
            </w:r>
          </w:p>
        </w:tc>
        <w:tc>
          <w:tcPr>
            <w:tcW w:type="dxa" w:w="2339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Митигация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деградация СБ &gt; 25%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Тройной переход GaAs, запас 30%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Временно́й сдвиг CSAC между ISL-обновлениями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space-Rb-якоря, ISL-синхронизация ≤ 10 с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Конъюнкции &gt; 10/год с P(c) &gt; 10⁻⁴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ΔV-бюджет CAM 1,05 м/с, активный каталог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Помехи L1 в Арктическом регионе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Средняя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Среднее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Двойная частота, CRPA-антенна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Задержки производства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Двойной поставщик, модульная платформа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ИТУ координация — отказ в выделении частот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Критическое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TMBOC/BPSK в рамках RNSS-полос M.1787; SSC &lt; −61 дБ/Гц подтверждён §43</w:t>
            </w:r>
          </w:p>
        </w:tc>
      </w:tr>
      <w:tr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Кибератака на TESLA MAC / НС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Низкая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Высокое</w:t>
            </w:r>
          </w:p>
        </w:tc>
        <w:tc>
          <w:tcPr>
            <w:tcW w:type="dxa" w:w="2339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HMAC-Стрибог 128 бит (ГОСТ Р 34.11-2012), смена ключа 30 с, аппаратный HSM в MCS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66.3  Рекомендации по дальнейшей разработке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/>
          <w:i w:val="0"/>
          <w:color w:val="000000"/>
          <w:sz w:val="28"/>
        </w:rPr>
        <w:t>Фаза 0 (2026):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фокус на лётной квалификации ISL Ka-диапазона и бортового CSAC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/>
          <w:i w:val="0"/>
          <w:color w:val="000000"/>
          <w:sz w:val="28"/>
        </w:rPr>
        <w:t>Фаза 1 (2027–2028):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демонстрация LPT сервиса, интеграция с СДКМ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/>
          <w:i w:val="0"/>
          <w:color w:val="000000"/>
          <w:sz w:val="28"/>
        </w:rPr>
        <w:t>Фаза 2 (2029–2030):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PPP-RTK сервис для России (&lt; 0,5 м точность)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/>
          <w:i w:val="0"/>
          <w:color w:val="000000"/>
          <w:sz w:val="28"/>
        </w:rPr>
        <w:t>Фаза 3–4: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глобальный охват, переговоры о международной совместимости</w:t>
      </w:r>
    </w:p>
    <w:p>
      <w:pPr>
        <w:pStyle w:val="Heading2"/>
        <w:keepNext/>
        <w:spacing w:lineRule="auto" w:line="240" w:before="280" w:after="120"/>
        <w:ind w:firstLine="709"/>
        <w:jc w:val="left"/>
      </w:pPr>
      <w:r>
        <w:rPr>
          <w:rFonts w:ascii="Times New Roman" w:hAnsi="Times New Roman"/>
          <w:b/>
          <w:i w:val="0"/>
          <w:color w:val="000000"/>
          <w:sz w:val="28"/>
        </w:rPr>
        <w:t>66.4  Открытые вопросы и план закрытия</w:t>
      </w:r>
    </w:p>
    <w:p>
      <w:pPr>
        <w:spacing w:lineRule="auto" w:line="240" w:before="280" w:after="40"/>
        <w:ind w:firstLine="0"/>
        <w:jc w:val="left"/>
      </w:pPr>
      <w:r>
        <w:rPr>
          <w:rFonts w:ascii="Times New Roman" w:hAnsi="Times New Roman"/>
          <w:b/>
          <w:i w:val="0"/>
          <w:color w:val="000000"/>
          <w:sz w:val="24"/>
        </w:rPr>
        <w:t>Таблица 126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3118"/>
        <w:gridCol w:w="3118"/>
        <w:gridCol w:w="3118"/>
      </w:tblGrid>
      <w:tr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№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Открытый вопрос</w:t>
            </w:r>
          </w:p>
        </w:tc>
        <w:tc>
          <w:tcPr>
            <w:tcW w:type="dxa" w:w="3118"/>
            <w:vAlign w:val="center"/>
            <w:shd w:val="clear" w:color="auto" w:fill="D9E1F2"/>
          </w:tcPr>
          <w:p>
            <w:pPr>
              <w:spacing w:lineRule="auto" w:line="240" w:before="40" w:after="40"/>
              <w:ind w:firstLine="0"/>
              <w:jc w:val="center"/>
            </w:pPr>
            <w:r>
              <w:rPr>
                <w:rFonts w:ascii="Times New Roman" w:hAnsi="Times New Roman"/>
                <w:b/>
                <w:i w:val="0"/>
                <w:color w:val="000000"/>
                <w:sz w:val="24"/>
              </w:rPr>
              <w:t>План закрытия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OP-01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Радиационная стойкость CSAC (SA.45s) 20 крад при 1000 км / 7 лет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локальный точечный экран Ta/W до 7 мм Al-экв. (~30–50 г/прибор, §32.2), запас 1,2×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OP-02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Орбитальное определение LEO — доминанта UERE (~0,45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§47 определённая орбита 5–19 см; транслируемая эфемерида SISRE 0,3–0,45 м (разграничено); резерв UERE → ~0,6 м при частых обновлениях/фазовой ISL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OP-03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Деградация точности при автономии (72 ч без земли)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промоделировано в §8.6 (CEP 0,9 → 2,3 м комбинир. за 72 ч; UTC-дрейф &lt; 30 нс)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OP-04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Модуль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agps_server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 (сокращение холодного TTFF)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Закрыто: реализован (§27.3,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aurora/pnt/agps_server.py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 xml:space="preserve">, CLI </w:t>
            </w:r>
            <w:r>
              <w:rPr>
                <w:rFonts w:ascii="Courier New" w:hAnsi="Courier New"/>
                <w:b w:val="0"/>
                <w:i w:val="0"/>
                <w:color w:val="7B0000"/>
                <w:sz w:val="22"/>
              </w:rPr>
              <w:t>agps</w:t>
            </w: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); TTFF 149 → 7 с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OP-05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Роадмап режим A (UERE 3,1 м) не соответствовал проверенной норме (0,7 м)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Закрыто: режим A приведён к 0,7 м + примечание о деградации (роадмап §2)</w:t>
            </w:r>
          </w:p>
        </w:tc>
      </w:tr>
      <w:tr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OP-06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Элементная база бортовых часов (CSAC «КПН», space-Rb Quantum-18, ШИВА НЕТВОРК) — закупка vs собственная разработка</w:t>
            </w:r>
          </w:p>
        </w:tc>
        <w:tc>
          <w:tcPr>
            <w:tcW w:type="dxa" w:w="3118"/>
            <w:vAlign w:val="center"/>
          </w:tcPr>
          <w:p>
            <w:pPr>
              <w:spacing w:lineRule="auto" w:line="240" w:before="40" w:after="40"/>
              <w:ind w:firstLine="0"/>
              <w:jc w:val="left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24"/>
              </w:rPr>
              <w:t>Вне периметра настоящего ТП: ведётся отдельным проектом разработки стандартов частоты (ШИВА НЕТВОРК). В ТП зафиксированы требуемые ТТХ (§8); выбор и квалификация элементной базы закрываются в смежном проекте</w:t>
            </w:r>
          </w:p>
        </w:tc>
      </w:tr>
    </w:tbl>
    <w:p>
      <w:pPr>
        <w:spacing w:lineRule="auto" w:line="240" w:before="0" w:after="120"/>
        <w:ind w:firstLine="0"/>
      </w:pP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Все вопросы в периметре настоящего технического проекта (OP-01…OP-05) закрыты. Вопрос OP-06 (элементная база стандартов частоты) вынесен за периметр ТП и закрывается в смежном проекте разработки бортовых атомных стандартов; в настоящем документе для него заданы граничные ТТХ (раздел 8).</w:t>
      </w:r>
    </w:p>
    <w:p>
      <w:r>
        <w:br w:type="page"/>
      </w:r>
    </w:p>
    <w:p>
      <w:pPr>
        <w:pStyle w:val="Heading1"/>
        <w:keepNext/>
        <w:spacing w:lineRule="auto" w:line="240" w:before="360" w:after="160"/>
        <w:ind w:firstLine="0"/>
        <w:jc w:val="center"/>
      </w:pPr>
      <w:r>
        <w:rPr>
          <w:rFonts w:ascii="Times New Roman" w:hAnsi="Times New Roman"/>
          <w:b/>
          <w:i w:val="0"/>
          <w:color w:val="000000"/>
          <w:sz w:val="28"/>
        </w:rPr>
        <w:t>67  СПИСОК ЛИТЕРАТУРЫ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1) </w:t>
      </w:r>
      <w:r>
        <w:rPr>
          <w:rFonts w:ascii="Times New Roman" w:hAnsi="Times New Roman"/>
          <w:b w:val="0"/>
          <w:i w:val="0"/>
          <w:color w:val="000000"/>
          <w:sz w:val="28"/>
        </w:rPr>
        <w:t>Walker, J.G. (1984). *Satellite Constellations*. Journal of the British Interplanetary Society, 37, 559–571.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2) </w:t>
      </w:r>
      <w:r>
        <w:rPr>
          <w:rFonts w:ascii="Times New Roman" w:hAnsi="Times New Roman"/>
          <w:b w:val="0"/>
          <w:i w:val="0"/>
          <w:color w:val="000000"/>
          <w:sz w:val="28"/>
        </w:rPr>
        <w:t>Ballard, A.H. (1980). Rosette Constellations of Earth Satellites. *IEEE Transactions on Aerospace and Electronic Systems*, 16(5), 656–673.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3) </w:t>
      </w:r>
      <w:r>
        <w:rPr>
          <w:rFonts w:ascii="Times New Roman" w:hAnsi="Times New Roman"/>
          <w:b w:val="0"/>
          <w:i w:val="0"/>
          <w:color w:val="000000"/>
          <w:sz w:val="28"/>
        </w:rPr>
        <w:t>van den IJssel, J., Encarnação, J., Doornbos, E., Visser, P. (2015). Precise science orbits for the Swarm satellite constellation. *Advances in Space Research*, 56(6), 1042–1055.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4) </w:t>
      </w:r>
      <w:r>
        <w:rPr>
          <w:rFonts w:ascii="Times New Roman" w:hAnsi="Times New Roman"/>
          <w:b w:val="0"/>
          <w:i w:val="0"/>
          <w:color w:val="000000"/>
          <w:sz w:val="28"/>
        </w:rPr>
        <w:t>Klinkrad, H. (2006). *Space Debris: Models and Risk Analysis*.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5) </w:t>
      </w:r>
      <w:r>
        <w:rPr>
          <w:rFonts w:ascii="Times New Roman" w:hAnsi="Times New Roman"/>
          <w:b w:val="0"/>
          <w:i w:val="0"/>
          <w:color w:val="000000"/>
          <w:sz w:val="28"/>
        </w:rPr>
        <w:t>Klobuchar, J.A. (1987). Ionospheric Time-Delay Algorithm for Single-Frequency GPS Users. *IEEE Transactions on Aerospace and Electronic Systems*, 23(3), 325–331.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6) </w:t>
      </w:r>
      <w:r>
        <w:rPr>
          <w:rFonts w:ascii="Times New Roman" w:hAnsi="Times New Roman"/>
          <w:b w:val="0"/>
          <w:i w:val="0"/>
          <w:color w:val="000000"/>
          <w:sz w:val="28"/>
        </w:rPr>
        <w:t>Wertz, J.R., Everett, D.F., Puschell, J.J. (2011). *Space Mission Engineering: The New SMAD*.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7)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IS-GPS-200L (2020). Interface Specification: GPS Navstar Signal Specification.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8) </w:t>
      </w:r>
      <w:r>
        <w:rPr>
          <w:rFonts w:ascii="Times New Roman" w:hAnsi="Times New Roman"/>
          <w:b w:val="0"/>
          <w:i w:val="0"/>
          <w:color w:val="000000"/>
          <w:sz w:val="28"/>
        </w:rPr>
        <w:t>Parkinson, B.W., Spilker, J.J. (1996). *Global Positioning System: Theory and Applications*. AIAA.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9) </w:t>
      </w:r>
      <w:r>
        <w:rPr>
          <w:rFonts w:ascii="Times New Roman" w:hAnsi="Times New Roman"/>
          <w:b w:val="0"/>
          <w:i w:val="0"/>
          <w:color w:val="000000"/>
          <w:sz w:val="28"/>
        </w:rPr>
        <w:t>ECSS-E-ST-10-04C (2008). Space Environment. ESA.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10) </w:t>
      </w:r>
      <w:r>
        <w:rPr>
          <w:rFonts w:ascii="Times New Roman" w:hAnsi="Times New Roman"/>
          <w:b w:val="0"/>
          <w:i w:val="0"/>
          <w:color w:val="000000"/>
          <w:sz w:val="28"/>
        </w:rPr>
        <w:t>ESA MASTER-8 (2021). Meteoroid and Space Debris Terrestrial Environment Reference. ESA/ESOC.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11) </w:t>
      </w:r>
      <w:r>
        <w:rPr>
          <w:rFonts w:ascii="Times New Roman" w:hAnsi="Times New Roman"/>
          <w:b w:val="0"/>
          <w:i w:val="0"/>
          <w:color w:val="000000"/>
          <w:sz w:val="28"/>
        </w:rPr>
        <w:t>Zhu, S., et al. (2022). Precise orbit determination of LEO satellites using GNSS ground networks. *GPS Solutions*, 26(2), 1–18.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12) </w:t>
      </w:r>
      <w:r>
        <w:rPr>
          <w:rFonts w:ascii="Times New Roman" w:hAnsi="Times New Roman"/>
          <w:b w:val="0"/>
          <w:i w:val="0"/>
          <w:color w:val="000000"/>
          <w:sz w:val="28"/>
        </w:rPr>
        <w:t>Kaplan, E.D., Hegarty, C.J. (2017). *Understanding GPS/GNSS: Principles and Applications*. Artech House.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13) </w:t>
      </w:r>
      <w:r>
        <w:rPr>
          <w:rFonts w:ascii="Times New Roman" w:hAnsi="Times New Roman"/>
          <w:b w:val="0"/>
          <w:i w:val="0"/>
          <w:color w:val="000000"/>
          <w:sz w:val="28"/>
        </w:rPr>
        <w:t>ИТУ-R M.1787 (2007). Описание и характеристики систем RNSS.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14) </w:t>
      </w:r>
      <w:r>
        <w:rPr>
          <w:rFonts w:ascii="Times New Roman" w:hAnsi="Times New Roman"/>
          <w:b w:val="0"/>
          <w:i w:val="0"/>
          <w:color w:val="000000"/>
          <w:sz w:val="28"/>
        </w:rPr>
        <w:t>RTCA DO-229E (2016). MOPS for GPS/SBAS Airborne Equipment. RTCA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15) </w:t>
      </w:r>
      <w:r>
        <w:rPr>
          <w:rFonts w:ascii="Times New Roman" w:hAnsi="Times New Roman"/>
          <w:b w:val="0"/>
          <w:i w:val="0"/>
          <w:color w:val="000000"/>
          <w:sz w:val="28"/>
        </w:rPr>
        <w:t>Foster, J.L., Estes, H.S. (1992). A Parametric Analysis of Orbital Debris Collision Probability and Maneuver Rate for Space Vehicles. *NASA JSC-25898*, Johnson Space Center.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16) </w:t>
      </w:r>
      <w:r>
        <w:rPr>
          <w:rFonts w:ascii="Times New Roman" w:hAnsi="Times New Roman"/>
          <w:b w:val="0"/>
          <w:i w:val="0"/>
          <w:color w:val="000000"/>
          <w:sz w:val="28"/>
        </w:rPr>
        <w:t>Перов, А.И., Харисов, В.Н. (ред.) (2010). *ГЛОНАСС. Принципы построения и функционирования*. 4-е изд. М.: Радиотехника. ISBN 978-5-88070-251-0.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17) </w:t>
      </w:r>
      <w:r>
        <w:rPr>
          <w:rFonts w:ascii="Times New Roman" w:hAnsi="Times New Roman"/>
          <w:b w:val="0"/>
          <w:i w:val="0"/>
          <w:color w:val="000000"/>
          <w:sz w:val="28"/>
        </w:rPr>
        <w:t>Allan, D.W. (1966). Statistics of Atomic Frequency Standards. *Proceedings of the IEEE*, 54(2), 221–230.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18)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Montenbruck, O. (Eds.) (2017). *Springer Handbook of Global Navigation Satellite Systems*. Springer.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19) </w:t>
      </w:r>
      <w:r>
        <w:rPr>
          <w:rFonts w:ascii="Times New Roman" w:hAnsi="Times New Roman"/>
          <w:b w:val="0"/>
          <w:i w:val="0"/>
          <w:color w:val="000000"/>
          <w:sz w:val="28"/>
        </w:rPr>
        <w:t>IERS Conventions (2010). IERS Technical Note No. 36.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20)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OS SIS ICD (2021). European Union. Issue 2.0.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21) </w:t>
      </w:r>
      <w:r>
        <w:rPr>
          <w:rFonts w:ascii="Times New Roman" w:hAnsi="Times New Roman"/>
          <w:b w:val="0"/>
          <w:i w:val="0"/>
          <w:color w:val="000000"/>
          <w:sz w:val="28"/>
        </w:rPr>
        <w:t>Barth, J.L., Dyer, C.S., Stassinopoulos, E.G. (2003). Space, Atmospheric and Terrestrial Radiation Environments. *IEEE Transactions on Nuclear Science*, 50(3), 466–482.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22) </w:t>
      </w:r>
      <w:r>
        <w:rPr>
          <w:rFonts w:ascii="Times New Roman" w:hAnsi="Times New Roman"/>
          <w:b w:val="0"/>
          <w:i w:val="0"/>
          <w:color w:val="000000"/>
          <w:sz w:val="28"/>
        </w:rPr>
        <w:t>Messenger, G.C., Ash, M.S. (1992). *The Effects of Radiation on Electronic Systems*. Van Nostrand Reinhold.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23) </w:t>
      </w:r>
      <w:r>
        <w:rPr>
          <w:rFonts w:ascii="Times New Roman" w:hAnsi="Times New Roman"/>
          <w:b w:val="0"/>
          <w:i w:val="0"/>
          <w:color w:val="000000"/>
          <w:sz w:val="28"/>
        </w:rPr>
        <w:t>ECSS-Q-ST-30C (2008). Dependability. ESA Requirements and Standards Division.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24) </w:t>
      </w:r>
      <w:r>
        <w:rPr>
          <w:rFonts w:ascii="Times New Roman" w:hAnsi="Times New Roman"/>
          <w:b w:val="0"/>
          <w:i w:val="0"/>
          <w:color w:val="000000"/>
          <w:sz w:val="28"/>
        </w:rPr>
        <w:t>MIL-HDBK-217F (1991). Reliability Prediction of Electronic Equipment.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25) </w:t>
      </w:r>
      <w:r>
        <w:rPr>
          <w:rFonts w:ascii="Times New Roman" w:hAnsi="Times New Roman"/>
          <w:b w:val="0"/>
          <w:i w:val="0"/>
          <w:color w:val="000000"/>
          <w:sz w:val="28"/>
        </w:rPr>
        <w:t>Zhang, B., et al. (2020). LEO constellation-augmented multi-GNSS for rapid PPP convergence. *GPS Solutions*, 24(3), 82.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26) </w:t>
      </w:r>
      <w:r>
        <w:rPr>
          <w:rFonts w:ascii="Times New Roman" w:hAnsi="Times New Roman"/>
          <w:b w:val="0"/>
          <w:i w:val="0"/>
          <w:color w:val="000000"/>
          <w:sz w:val="28"/>
        </w:rPr>
        <w:t>Zumberge, J.F., et al. (1997). Precise point positioning for the efficient and robust analysis of GPS data from large networks. *Journal of Geophysical Research*, 102(B3), 5005–5017.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27) </w:t>
      </w:r>
      <w:r>
        <w:rPr>
          <w:rFonts w:ascii="Times New Roman" w:hAnsi="Times New Roman"/>
          <w:b w:val="0"/>
          <w:i w:val="0"/>
          <w:color w:val="000000"/>
          <w:sz w:val="28"/>
        </w:rPr>
        <w:t>Hughes, P.C. (2004). *Spacecraft Attitude Dynamics*. Dover Publications.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28) </w:t>
      </w:r>
      <w:r>
        <w:rPr>
          <w:rFonts w:ascii="Times New Roman" w:hAnsi="Times New Roman"/>
          <w:b w:val="0"/>
          <w:i w:val="0"/>
          <w:color w:val="000000"/>
          <w:sz w:val="28"/>
        </w:rPr>
        <w:t>Vallado, D.A. (2013). *Fundamentals of Astrodynamics and Applications*, 4th ed. Microcosm Press.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29) </w:t>
      </w:r>
      <w:r>
        <w:rPr>
          <w:rFonts w:ascii="Times New Roman" w:hAnsi="Times New Roman"/>
          <w:b w:val="0"/>
          <w:i w:val="0"/>
          <w:color w:val="000000"/>
          <w:sz w:val="28"/>
        </w:rPr>
        <w:t>Zhu, J. (1994). Conversion of Earth-centered Earth-fixed coordinates to geodetic coordinates. *IEEE Transactions on Aerospace and Electronic Systems*, 30(3), 957–961.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30) </w:t>
      </w:r>
      <w:r>
        <w:rPr>
          <w:rFonts w:ascii="Times New Roman" w:hAnsi="Times New Roman"/>
          <w:b w:val="0"/>
          <w:i w:val="0"/>
          <w:color w:val="000000"/>
          <w:sz w:val="28"/>
        </w:rPr>
        <w:t>Saastamoinen, J. (1972). Atmospheric correction for the troposphere and stratosphere in radio ranging of satellites. *Geophysical Monograph Series*, 15, 247–251.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31) </w:t>
      </w:r>
      <w:r>
        <w:rPr>
          <w:rFonts w:ascii="Times New Roman" w:hAnsi="Times New Roman"/>
          <w:b w:val="0"/>
          <w:i w:val="0"/>
          <w:color w:val="000000"/>
          <w:sz w:val="28"/>
        </w:rPr>
        <w:t>Niell, A.E. (1996). Global mapping functions for the atmosphere delay at radio wavelengths. *Journal of Geophysical Research*, 101(B2), 3227–3246.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32) </w:t>
      </w:r>
      <w:r>
        <w:rPr>
          <w:rFonts w:ascii="Times New Roman" w:hAnsi="Times New Roman"/>
          <w:b w:val="0"/>
          <w:i w:val="0"/>
          <w:color w:val="000000"/>
          <w:sz w:val="28"/>
        </w:rPr>
        <w:t>ГЛОНАСС ИКД (2016). Интерфейсный контрольный документ, версия 5.1. АО «Российские космические системы».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33) </w:t>
      </w:r>
      <w:r>
        <w:rPr>
          <w:rFonts w:ascii="Times New Roman" w:hAnsi="Times New Roman"/>
          <w:b w:val="0"/>
          <w:i w:val="0"/>
          <w:color w:val="000000"/>
          <w:sz w:val="28"/>
        </w:rPr>
        <w:t>Xona Space Systems (2023). PULSAR LEO Navigation Constellation — Technical White Paper. Xona Space Systems Inc.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34) </w:t>
      </w:r>
      <w:r>
        <w:rPr>
          <w:rFonts w:ascii="Times New Roman" w:hAnsi="Times New Roman"/>
          <w:b w:val="0"/>
          <w:i w:val="0"/>
          <w:color w:val="000000"/>
          <w:sz w:val="28"/>
        </w:rPr>
        <w:t>Joerger, M., Gratton, L., Pervan, B., Cohen, C.E. (2010). Analysis of Iridium-Augmented GPS for Floating Carrier Phase Positioning. *Navigation*, 57(2), 137–160.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35) </w:t>
      </w:r>
      <w:r>
        <w:rPr>
          <w:rFonts w:ascii="Times New Roman" w:hAnsi="Times New Roman"/>
          <w:b w:val="0"/>
          <w:i w:val="0"/>
          <w:color w:val="000000"/>
          <w:sz w:val="28"/>
        </w:rPr>
        <w:t>ESA (2024). LEO-PNT In-Orbit Demonstration Mission (созвездие Pathfinder A/B, 12 КА). ESA Directorate of Navigation, ESA/ESTEC.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36) </w:t>
      </w:r>
      <w:r>
        <w:rPr>
          <w:rFonts w:ascii="Times New Roman" w:hAnsi="Times New Roman"/>
          <w:b w:val="0"/>
          <w:i w:val="0"/>
          <w:color w:val="000000"/>
          <w:sz w:val="28"/>
        </w:rPr>
        <w:t>Tang, C., et al. (2018). Initial results of centralized autonomous orbit determination of the new-generation BDS satellites with inter-satellite link measurements. *Journal of Geodesy*, 92(10), 1155–1169.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37) </w:t>
      </w:r>
      <w:r>
        <w:rPr>
          <w:rFonts w:ascii="Times New Roman" w:hAnsi="Times New Roman"/>
          <w:b w:val="0"/>
          <w:i w:val="0"/>
          <w:color w:val="000000"/>
          <w:sz w:val="28"/>
        </w:rPr>
        <w:t>SpaceX (2025). Reply Comments on Starlink PNT Capabilities. FCC Notice of Inquiry, WT Docket No. 25-110.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38) </w:t>
      </w:r>
      <w:r>
        <w:rPr>
          <w:rFonts w:ascii="Times New Roman" w:hAnsi="Times New Roman"/>
          <w:b w:val="0"/>
          <w:i w:val="0"/>
          <w:color w:val="000000"/>
          <w:sz w:val="28"/>
        </w:rPr>
        <w:t>Prol, F.S., Ferre, R.M., et al. (2022). Position, Navigation, and Timing (PNT) Through Low Earth Orbit (LEO) Satellites: A Survey on Current Status, Challenges, and Opportunities. *IEEE Access*, 10, 83971–84002.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39) </w:t>
      </w:r>
      <w:r>
        <w:rPr>
          <w:rFonts w:ascii="Times New Roman" w:hAnsi="Times New Roman"/>
          <w:b w:val="0"/>
          <w:i w:val="0"/>
          <w:color w:val="000000"/>
          <w:sz w:val="28"/>
        </w:rPr>
        <w:t>Ge, H., Li, B., Ge, M., Zang, N., Nie, L., Shen, Y., Schuh, H. (2018). Initial Assessment of Precise Point Positioning with LEO Enhanced Global Navigation Satellite Systems (LeGNSS). *Remote Sensing*, 10(7), 984.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40) </w:t>
      </w:r>
      <w:r>
        <w:rPr>
          <w:rFonts w:ascii="Times New Roman" w:hAnsi="Times New Roman"/>
          <w:b w:val="0"/>
          <w:i w:val="0"/>
          <w:color w:val="000000"/>
          <w:sz w:val="28"/>
        </w:rPr>
        <w:t>Reid, T.G.R., et al. (2016). Broadband LEO Constellations for Navigation. *Proceedings of ION GNSS+ 2016*, 2366–2378.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41) </w:t>
      </w:r>
      <w:r>
        <w:rPr>
          <w:rFonts w:ascii="Times New Roman" w:hAnsi="Times New Roman"/>
          <w:b w:val="0"/>
          <w:i w:val="0"/>
          <w:color w:val="000000"/>
          <w:sz w:val="28"/>
        </w:rPr>
        <w:t>Betz, J.W. (2016). *Engineering Satellite-Based Navigation and Timing*. Wiley-IEEE Press, Ch. 3 (Spectral Separation Coefficients).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42) </w:t>
      </w:r>
      <w:r>
        <w:rPr>
          <w:rFonts w:ascii="Times New Roman" w:hAnsi="Times New Roman"/>
          <w:b w:val="0"/>
          <w:i w:val="0"/>
          <w:color w:val="000000"/>
          <w:sz w:val="28"/>
        </w:rPr>
        <w:t>Teunissen, P.J.G., Khodabandeh, A. (2015). Review and Principles of PPP-RTK Methods. *Journal of Geodesy*, 89(3), 217–240.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43) </w:t>
      </w:r>
      <w:r>
        <w:rPr>
          <w:rFonts w:ascii="Times New Roman" w:hAnsi="Times New Roman"/>
          <w:b w:val="0"/>
          <w:i w:val="0"/>
          <w:color w:val="000000"/>
          <w:sz w:val="28"/>
        </w:rPr>
        <w:t>Wübbena, G., et al. (2005). PPP-RTK: Precise Point Positioning Using State-Space Representation in RTK Networks. *Proceedings of ION GNSS 2005*, 2584–2594.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44) </w:t>
      </w:r>
      <w:r>
        <w:rPr>
          <w:rFonts w:ascii="Times New Roman" w:hAnsi="Times New Roman"/>
          <w:b w:val="0"/>
          <w:i w:val="0"/>
          <w:color w:val="000000"/>
          <w:sz w:val="28"/>
        </w:rPr>
        <w:t>Galileo HAS ICD (2022). Galileo High Accuracy Service Interface Control Document. European Commission.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45) </w:t>
      </w:r>
      <w:r>
        <w:rPr>
          <w:rFonts w:ascii="Times New Roman" w:hAnsi="Times New Roman"/>
          <w:b w:val="0"/>
          <w:i w:val="0"/>
          <w:color w:val="000000"/>
          <w:sz w:val="28"/>
        </w:rPr>
        <w:t>IS-GPS-705J (2021). Navstar GPS Space Segment/User Segment L5 Interfaces. US DoD.</w:t>
      </w:r>
    </w:p>
    <w:p>
      <w:pPr>
        <w:spacing w:lineRule="auto" w:line="360" w:before="0" w:after="0"/>
        <w:ind w:left="709" w:hanging="340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 xml:space="preserve">46) </w:t>
      </w:r>
      <w:r>
        <w:rPr>
          <w:rFonts w:ascii="Times New Roman" w:hAnsi="Times New Roman"/>
          <w:b w:val="0"/>
          <w:i w:val="0"/>
          <w:color w:val="000000"/>
          <w:sz w:val="28"/>
        </w:rPr>
        <w:t>ICD-GPS-800F (2022). Navstar GPS Space Segment/User Segment L1C Interface. US DoD.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*Конец документа*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Проект: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АВРОРА — ООО «ШИВА НЕТВОРК» (ShiwaNetwork)</w:t>
      </w:r>
    </w:p>
    <w:p>
      <w:pPr>
        <w:spacing w:lineRule="auto" w:line="360" w:before="0" w:after="0"/>
        <w:ind w:firstLine="709"/>
        <w:jc w:val="both"/>
      </w:pPr>
      <w:r>
        <w:rPr>
          <w:rFonts w:ascii="Times New Roman" w:hAnsi="Times New Roman"/>
          <w:b/>
          <w:i w:val="0"/>
          <w:color w:val="000000"/>
          <w:sz w:val="28"/>
        </w:rPr>
        <w:t>Статус:</w:t>
      </w:r>
      <w:r>
        <w:rPr>
          <w:rFonts w:ascii="Times New Roman" w:hAnsi="Times New Roman"/>
          <w:b w:val="0"/>
          <w:i w:val="0"/>
          <w:color w:val="000000"/>
          <w:sz w:val="28"/>
        </w:rPr>
        <w:t xml:space="preserve"> технический проект — основа для разработки технического задания.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Char w:fldCharType="begin"/>
    </w:r>
    <w:r>
      <w:rPr>
        <w:rFonts w:ascii="Times New Roman" w:hAnsi="Times New Roman"/>
        <w:sz w:val="24"/>
      </w:rPr>
      <w:t xml:space="preserve"> PAGE </w:t>
      <w:instrText xml:space="preserve"> PAGE </w:instrText>
    </w:r>
    <w:r>
      <w:rPr>
        <w:rFonts w:ascii="Times New Roman" w:hAnsi="Times New Roman"/>
        <w:sz w:val="24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Relationship Id="rId46" Type="http://schemas.openxmlformats.org/officeDocument/2006/relationships/image" Target="media/image37.png"/><Relationship Id="rId47" Type="http://schemas.openxmlformats.org/officeDocument/2006/relationships/image" Target="media/image38.png"/><Relationship Id="rId48" Type="http://schemas.openxmlformats.org/officeDocument/2006/relationships/image" Target="media/image39.png"/><Relationship Id="rId49" Type="http://schemas.openxmlformats.org/officeDocument/2006/relationships/image" Target="media/image40.png"/><Relationship Id="rId50" Type="http://schemas.openxmlformats.org/officeDocument/2006/relationships/image" Target="media/image41.png"/><Relationship Id="rId51" Type="http://schemas.openxmlformats.org/officeDocument/2006/relationships/image" Target="media/image42.png"/><Relationship Id="rId52" Type="http://schemas.openxmlformats.org/officeDocument/2006/relationships/image" Target="media/image43.png"/><Relationship Id="rId53" Type="http://schemas.openxmlformats.org/officeDocument/2006/relationships/image" Target="media/image44.png"/><Relationship Id="rId54" Type="http://schemas.openxmlformats.org/officeDocument/2006/relationships/image" Target="media/image45.png"/><Relationship Id="rId55" Type="http://schemas.openxmlformats.org/officeDocument/2006/relationships/image" Target="media/image46.png"/><Relationship Id="rId56" Type="http://schemas.openxmlformats.org/officeDocument/2006/relationships/image" Target="media/image47.png"/><Relationship Id="rId57" Type="http://schemas.openxmlformats.org/officeDocument/2006/relationships/image" Target="media/image48.png"/><Relationship Id="rId58" Type="http://schemas.openxmlformats.org/officeDocument/2006/relationships/image" Target="media/image49.png"/><Relationship Id="rId59" Type="http://schemas.openxmlformats.org/officeDocument/2006/relationships/image" Target="media/image50.png"/><Relationship Id="rId60" Type="http://schemas.openxmlformats.org/officeDocument/2006/relationships/image" Target="media/image51.png"/><Relationship Id="rId61" Type="http://schemas.openxmlformats.org/officeDocument/2006/relationships/image" Target="media/image52.png"/><Relationship Id="rId62" Type="http://schemas.openxmlformats.org/officeDocument/2006/relationships/image" Target="media/image53.png"/><Relationship Id="rId63" Type="http://schemas.openxmlformats.org/officeDocument/2006/relationships/image" Target="media/image54.png"/><Relationship Id="rId64" Type="http://schemas.openxmlformats.org/officeDocument/2006/relationships/image" Target="media/image55.png"/><Relationship Id="rId65" Type="http://schemas.openxmlformats.org/officeDocument/2006/relationships/image" Target="media/image56.png"/><Relationship Id="rId66" Type="http://schemas.openxmlformats.org/officeDocument/2006/relationships/image" Target="media/image57.png"/><Relationship Id="rId67" Type="http://schemas.openxmlformats.org/officeDocument/2006/relationships/image" Target="media/image58.png"/><Relationship Id="rId68" Type="http://schemas.openxmlformats.org/officeDocument/2006/relationships/image" Target="media/image59.png"/><Relationship Id="rId69" Type="http://schemas.openxmlformats.org/officeDocument/2006/relationships/image" Target="media/image60.png"/><Relationship Id="rId70" Type="http://schemas.openxmlformats.org/officeDocument/2006/relationships/image" Target="media/image61.png"/><Relationship Id="rId71" Type="http://schemas.openxmlformats.org/officeDocument/2006/relationships/image" Target="media/image62.png"/><Relationship Id="rId72" Type="http://schemas.openxmlformats.org/officeDocument/2006/relationships/image" Target="media/image63.png"/><Relationship Id="rId73" Type="http://schemas.openxmlformats.org/officeDocument/2006/relationships/image" Target="media/image64.png"/><Relationship Id="rId74" Type="http://schemas.openxmlformats.org/officeDocument/2006/relationships/image" Target="media/image65.png"/><Relationship Id="rId75" Type="http://schemas.openxmlformats.org/officeDocument/2006/relationships/image" Target="media/image66.png"/><Relationship Id="rId76" Type="http://schemas.openxmlformats.org/officeDocument/2006/relationships/image" Target="media/image67.png"/><Relationship Id="rId77" Type="http://schemas.openxmlformats.org/officeDocument/2006/relationships/image" Target="media/image68.png"/><Relationship Id="rId78" Type="http://schemas.openxmlformats.org/officeDocument/2006/relationships/image" Target="media/image69.png"/><Relationship Id="rId79" Type="http://schemas.openxmlformats.org/officeDocument/2006/relationships/image" Target="media/image70.png"/><Relationship Id="rId80" Type="http://schemas.openxmlformats.org/officeDocument/2006/relationships/image" Target="media/image71.png"/><Relationship Id="rId81" Type="http://schemas.openxmlformats.org/officeDocument/2006/relationships/image" Target="media/image72.png"/><Relationship Id="rId82" Type="http://schemas.openxmlformats.org/officeDocument/2006/relationships/image" Target="media/image73.png"/><Relationship Id="rId83" Type="http://schemas.openxmlformats.org/officeDocument/2006/relationships/image" Target="media/image74.png"/><Relationship Id="rId84" Type="http://schemas.openxmlformats.org/officeDocument/2006/relationships/image" Target="media/image75.png"/><Relationship Id="rId85" Type="http://schemas.openxmlformats.org/officeDocument/2006/relationships/image" Target="media/image76.png"/><Relationship Id="rId86" Type="http://schemas.openxmlformats.org/officeDocument/2006/relationships/image" Target="media/image77.png"/><Relationship Id="rId87" Type="http://schemas.openxmlformats.org/officeDocument/2006/relationships/image" Target="media/image78.png"/><Relationship Id="rId88" Type="http://schemas.openxmlformats.org/officeDocument/2006/relationships/image" Target="media/image79.png"/><Relationship Id="rId89" Type="http://schemas.openxmlformats.org/officeDocument/2006/relationships/image" Target="media/image80.png"/><Relationship Id="rId90" Type="http://schemas.openxmlformats.org/officeDocument/2006/relationships/image" Target="media/image81.png"/><Relationship Id="rId91" Type="http://schemas.openxmlformats.org/officeDocument/2006/relationships/image" Target="media/image82.png"/><Relationship Id="rId92" Type="http://schemas.openxmlformats.org/officeDocument/2006/relationships/image" Target="media/image83.png"/><Relationship Id="rId93" Type="http://schemas.openxmlformats.org/officeDocument/2006/relationships/image" Target="media/image84.png"/><Relationship Id="rId94" Type="http://schemas.openxmlformats.org/officeDocument/2006/relationships/image" Target="media/image85.png"/><Relationship Id="rId95" Type="http://schemas.openxmlformats.org/officeDocument/2006/relationships/image" Target="media/image86.png"/><Relationship Id="rId96" Type="http://schemas.openxmlformats.org/officeDocument/2006/relationships/image" Target="media/image87.png"/><Relationship Id="rId97" Type="http://schemas.openxmlformats.org/officeDocument/2006/relationships/image" Target="media/image88.png"/><Relationship Id="rId98" Type="http://schemas.openxmlformats.org/officeDocument/2006/relationships/image" Target="media/image89.png"/><Relationship Id="rId99" Type="http://schemas.openxmlformats.org/officeDocument/2006/relationships/image" Target="media/image90.png"/><Relationship Id="rId100" Type="http://schemas.openxmlformats.org/officeDocument/2006/relationships/image" Target="media/image91.png"/><Relationship Id="rId101" Type="http://schemas.openxmlformats.org/officeDocument/2006/relationships/image" Target="media/image92.png"/><Relationship Id="rId102" Type="http://schemas.openxmlformats.org/officeDocument/2006/relationships/image" Target="media/image93.png"/><Relationship Id="rId103" Type="http://schemas.openxmlformats.org/officeDocument/2006/relationships/image" Target="media/image94.png"/><Relationship Id="rId104" Type="http://schemas.openxmlformats.org/officeDocument/2006/relationships/image" Target="media/image95.png"/><Relationship Id="rId105" Type="http://schemas.openxmlformats.org/officeDocument/2006/relationships/image" Target="media/image96.png"/><Relationship Id="rId106" Type="http://schemas.openxmlformats.org/officeDocument/2006/relationships/image" Target="media/image97.png"/><Relationship Id="rId107" Type="http://schemas.openxmlformats.org/officeDocument/2006/relationships/image" Target="media/image98.png"/><Relationship Id="rId108" Type="http://schemas.openxmlformats.org/officeDocument/2006/relationships/image" Target="media/image99.png"/><Relationship Id="rId109" Type="http://schemas.openxmlformats.org/officeDocument/2006/relationships/image" Target="media/image100.png"/><Relationship Id="rId110" Type="http://schemas.openxmlformats.org/officeDocument/2006/relationships/image" Target="media/image101.png"/><Relationship Id="rId111" Type="http://schemas.openxmlformats.org/officeDocument/2006/relationships/image" Target="media/image102.png"/><Relationship Id="rId112" Type="http://schemas.openxmlformats.org/officeDocument/2006/relationships/image" Target="media/image103.png"/><Relationship Id="rId113" Type="http://schemas.openxmlformats.org/officeDocument/2006/relationships/image" Target="media/image104.png"/><Relationship Id="rId114" Type="http://schemas.openxmlformats.org/officeDocument/2006/relationships/image" Target="media/image105.png"/><Relationship Id="rId115" Type="http://schemas.openxmlformats.org/officeDocument/2006/relationships/image" Target="media/image106.png"/><Relationship Id="rId116" Type="http://schemas.openxmlformats.org/officeDocument/2006/relationships/image" Target="media/image107.png"/><Relationship Id="rId117" Type="http://schemas.openxmlformats.org/officeDocument/2006/relationships/image" Target="media/image108.png"/><Relationship Id="rId118" Type="http://schemas.openxmlformats.org/officeDocument/2006/relationships/image" Target="media/image109.png"/><Relationship Id="rId119" Type="http://schemas.openxmlformats.org/officeDocument/2006/relationships/image" Target="media/image110.png"/><Relationship Id="rId120" Type="http://schemas.openxmlformats.org/officeDocument/2006/relationships/image" Target="media/image111.png"/><Relationship Id="rId121" Type="http://schemas.openxmlformats.org/officeDocument/2006/relationships/image" Target="media/image112.png"/><Relationship Id="rId122" Type="http://schemas.openxmlformats.org/officeDocument/2006/relationships/image" Target="media/image113.png"/><Relationship Id="rId123" Type="http://schemas.openxmlformats.org/officeDocument/2006/relationships/image" Target="media/image114.png"/><Relationship Id="rId124" Type="http://schemas.openxmlformats.org/officeDocument/2006/relationships/image" Target="media/image115.png"/><Relationship Id="rId125" Type="http://schemas.openxmlformats.org/officeDocument/2006/relationships/image" Target="media/image116.png"/><Relationship Id="rId126" Type="http://schemas.openxmlformats.org/officeDocument/2006/relationships/image" Target="media/image117.png"/><Relationship Id="rId127" Type="http://schemas.openxmlformats.org/officeDocument/2006/relationships/image" Target="media/image118.png"/><Relationship Id="rId128" Type="http://schemas.openxmlformats.org/officeDocument/2006/relationships/image" Target="media/image119.png"/><Relationship Id="rId129" Type="http://schemas.openxmlformats.org/officeDocument/2006/relationships/image" Target="media/image120.png"/><Relationship Id="rId130" Type="http://schemas.openxmlformats.org/officeDocument/2006/relationships/image" Target="media/image121.png"/><Relationship Id="rId131" Type="http://schemas.openxmlformats.org/officeDocument/2006/relationships/image" Target="media/image122.png"/><Relationship Id="rId132" Type="http://schemas.openxmlformats.org/officeDocument/2006/relationships/image" Target="media/image123.png"/><Relationship Id="rId133" Type="http://schemas.openxmlformats.org/officeDocument/2006/relationships/image" Target="media/image124.png"/><Relationship Id="rId134" Type="http://schemas.openxmlformats.org/officeDocument/2006/relationships/image" Target="media/image125.png"/><Relationship Id="rId135" Type="http://schemas.openxmlformats.org/officeDocument/2006/relationships/image" Target="media/image126.png"/><Relationship Id="rId136" Type="http://schemas.openxmlformats.org/officeDocument/2006/relationships/image" Target="media/image127.png"/><Relationship Id="rId137" Type="http://schemas.openxmlformats.org/officeDocument/2006/relationships/image" Target="media/image128.png"/><Relationship Id="rId138" Type="http://schemas.openxmlformats.org/officeDocument/2006/relationships/image" Target="media/image129.png"/><Relationship Id="rId139" Type="http://schemas.openxmlformats.org/officeDocument/2006/relationships/image" Target="media/image130.png"/><Relationship Id="rId140" Type="http://schemas.openxmlformats.org/officeDocument/2006/relationships/image" Target="media/image131.png"/><Relationship Id="rId141" Type="http://schemas.openxmlformats.org/officeDocument/2006/relationships/image" Target="media/image132.png"/><Relationship Id="rId142" Type="http://schemas.openxmlformats.org/officeDocument/2006/relationships/image" Target="media/image133.png"/><Relationship Id="rId143" Type="http://schemas.openxmlformats.org/officeDocument/2006/relationships/image" Target="media/image134.png"/><Relationship Id="rId144" Type="http://schemas.openxmlformats.org/officeDocument/2006/relationships/image" Target="media/image135.png"/><Relationship Id="rId145" Type="http://schemas.openxmlformats.org/officeDocument/2006/relationships/image" Target="media/image136.png"/><Relationship Id="rId146" Type="http://schemas.openxmlformats.org/officeDocument/2006/relationships/image" Target="media/image137.png"/><Relationship Id="rId147" Type="http://schemas.openxmlformats.org/officeDocument/2006/relationships/image" Target="media/image138.png"/><Relationship Id="rId148" Type="http://schemas.openxmlformats.org/officeDocument/2006/relationships/image" Target="media/image139.png"/><Relationship Id="rId149" Type="http://schemas.openxmlformats.org/officeDocument/2006/relationships/image" Target="media/image140.png"/><Relationship Id="rId150" Type="http://schemas.openxmlformats.org/officeDocument/2006/relationships/image" Target="media/image141.png"/><Relationship Id="rId151" Type="http://schemas.openxmlformats.org/officeDocument/2006/relationships/image" Target="media/image142.png"/><Relationship Id="rId152" Type="http://schemas.openxmlformats.org/officeDocument/2006/relationships/image" Target="media/image143.png"/><Relationship Id="rId153" Type="http://schemas.openxmlformats.org/officeDocument/2006/relationships/image" Target="media/image144.png"/><Relationship Id="rId154" Type="http://schemas.openxmlformats.org/officeDocument/2006/relationships/image" Target="media/image145.png"/><Relationship Id="rId155" Type="http://schemas.openxmlformats.org/officeDocument/2006/relationships/image" Target="media/image146.png"/><Relationship Id="rId156" Type="http://schemas.openxmlformats.org/officeDocument/2006/relationships/image" Target="media/image147.png"/><Relationship Id="rId157" Type="http://schemas.openxmlformats.org/officeDocument/2006/relationships/image" Target="media/image148.png"/><Relationship Id="rId158" Type="http://schemas.openxmlformats.org/officeDocument/2006/relationships/image" Target="media/image149.png"/><Relationship Id="rId159" Type="http://schemas.openxmlformats.org/officeDocument/2006/relationships/image" Target="media/image150.png"/><Relationship Id="rId160" Type="http://schemas.openxmlformats.org/officeDocument/2006/relationships/image" Target="media/image151.png"/><Relationship Id="rId161" Type="http://schemas.openxmlformats.org/officeDocument/2006/relationships/image" Target="media/image152.png"/><Relationship Id="rId162" Type="http://schemas.openxmlformats.org/officeDocument/2006/relationships/image" Target="media/image153.png"/><Relationship Id="rId163" Type="http://schemas.openxmlformats.org/officeDocument/2006/relationships/image" Target="media/image154.png"/><Relationship Id="rId164" Type="http://schemas.openxmlformats.org/officeDocument/2006/relationships/image" Target="media/image155.png"/><Relationship Id="rId165" Type="http://schemas.openxmlformats.org/officeDocument/2006/relationships/image" Target="media/image156.png"/><Relationship Id="rId166" Type="http://schemas.openxmlformats.org/officeDocument/2006/relationships/image" Target="media/image157.png"/><Relationship Id="rId167" Type="http://schemas.openxmlformats.org/officeDocument/2006/relationships/image" Target="media/image158.png"/><Relationship Id="rId168" Type="http://schemas.openxmlformats.org/officeDocument/2006/relationships/image" Target="media/image159.png"/><Relationship Id="rId169" Type="http://schemas.openxmlformats.org/officeDocument/2006/relationships/image" Target="media/image160.png"/><Relationship Id="rId170" Type="http://schemas.openxmlformats.org/officeDocument/2006/relationships/image" Target="media/image161.png"/><Relationship Id="rId171" Type="http://schemas.openxmlformats.org/officeDocument/2006/relationships/image" Target="media/image162.png"/><Relationship Id="rId172" Type="http://schemas.openxmlformats.org/officeDocument/2006/relationships/image" Target="media/image163.png"/><Relationship Id="rId173" Type="http://schemas.openxmlformats.org/officeDocument/2006/relationships/image" Target="media/image164.png"/><Relationship Id="rId174" Type="http://schemas.openxmlformats.org/officeDocument/2006/relationships/image" Target="media/image165.png"/><Relationship Id="rId175" Type="http://schemas.openxmlformats.org/officeDocument/2006/relationships/image" Target="media/image166.png"/><Relationship Id="rId176" Type="http://schemas.openxmlformats.org/officeDocument/2006/relationships/image" Target="media/image167.png"/><Relationship Id="rId177" Type="http://schemas.openxmlformats.org/officeDocument/2006/relationships/image" Target="media/image168.png"/><Relationship Id="rId178" Type="http://schemas.openxmlformats.org/officeDocument/2006/relationships/image" Target="media/image169.png"/><Relationship Id="rId179" Type="http://schemas.openxmlformats.org/officeDocument/2006/relationships/image" Target="media/image170.png"/><Relationship Id="rId180" Type="http://schemas.openxmlformats.org/officeDocument/2006/relationships/image" Target="media/image171.png"/><Relationship Id="rId181" Type="http://schemas.openxmlformats.org/officeDocument/2006/relationships/image" Target="media/image172.png"/><Relationship Id="rId182" Type="http://schemas.openxmlformats.org/officeDocument/2006/relationships/image" Target="media/image173.png"/><Relationship Id="rId183" Type="http://schemas.openxmlformats.org/officeDocument/2006/relationships/image" Target="media/image174.png"/><Relationship Id="rId184" Type="http://schemas.openxmlformats.org/officeDocument/2006/relationships/image" Target="media/image175.png"/><Relationship Id="rId185" Type="http://schemas.openxmlformats.org/officeDocument/2006/relationships/image" Target="media/image176.png"/><Relationship Id="rId186" Type="http://schemas.openxmlformats.org/officeDocument/2006/relationships/image" Target="media/image177.png"/><Relationship Id="rId187" Type="http://schemas.openxmlformats.org/officeDocument/2006/relationships/image" Target="media/image178.png"/><Relationship Id="rId188" Type="http://schemas.openxmlformats.org/officeDocument/2006/relationships/image" Target="media/image179.png"/><Relationship Id="rId189" Type="http://schemas.openxmlformats.org/officeDocument/2006/relationships/image" Target="media/image180.png"/><Relationship Id="rId190" Type="http://schemas.openxmlformats.org/officeDocument/2006/relationships/image" Target="media/image181.png"/><Relationship Id="rId191" Type="http://schemas.openxmlformats.org/officeDocument/2006/relationships/image" Target="media/image182.png"/><Relationship Id="rId192" Type="http://schemas.openxmlformats.org/officeDocument/2006/relationships/image" Target="media/image18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