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36 обеспечивает избыточность, необходимую для 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Фаза 4 (N_vis ≈ 36): доступность &gt; 99,999%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36–42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(5–6×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Σ_n=1³⁰⁰ T_1 · nlog_² b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</w:t>
      </w:r>
      <w:r>
        <w:rPr>
          <w:rFonts w:ascii="Courier New" w:hAnsi="Courier New"/>
          <w:b w:val="0"/>
          <w:i w:val="0"/>
          <w:color w:val="000000"/>
          <w:sz w:val="28"/>
        </w:rPr>
        <w:t>T_1 = 360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(по аналогии с малыми GNSS-КА класса 140 кг). Все суммы — в рублях; справочный пересчёт по курсу 90 ₽/$.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(кривая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36 803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408,9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107 003 млн ₽ ≈ 107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1 189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135 803 млн ₽ ≈ 135,8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357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15 286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169,8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 ~600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Требуется расширение сети TT&amp;C до ~10 станций либо снижение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контактов на КА. Зафиксировано как проектное ограничение для следующей итерации.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36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