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40" w:before="360" w:after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РОССИЙСКАЯ ФЕДЕРАЦИЯ</w:t>
      </w:r>
    </w:p>
    <w:p>
      <w:pPr>
        <w:spacing w:lineRule="auto" w:line="240" w:before="8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ООО «ШИВА НЕТВОРК» (ShiwaNetwork)</w:t>
      </w:r>
    </w:p>
    <w:p>
      <w:pPr>
        <w:spacing w:lineRule="auto" w:line="240" w:before="8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Основание: приказ ООО «ШИВА НЕТВОРК» № 11/2026</w:t>
      </w:r>
    </w:p>
    <w:p>
      <w:pPr>
        <w:spacing w:lineRule="auto" w:line="240" w:before="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</w:r>
    </w:p>
    <w:p>
      <w:pPr>
        <w:spacing w:lineRule="auto" w:line="240" w:before="440" w:after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30"/>
        </w:rPr>
        <w:t>НАУЧНО-ИССЛЕДОВАТЕЛЬСКАЯ РАБОТА «СИЯНИЕ»</w:t>
      </w:r>
    </w:p>
    <w:p>
      <w:pPr>
        <w:spacing w:lineRule="auto" w:line="240" w:before="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</w:r>
    </w:p>
    <w:p>
      <w:pPr>
        <w:spacing w:lineRule="auto" w:line="240" w:before="160" w:after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44"/>
        </w:rPr>
        <w:t>АВРОРА</w:t>
      </w:r>
    </w:p>
    <w:p>
      <w:pPr>
        <w:spacing w:lineRule="auto" w:line="240" w:before="0" w:after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Размещение навигационной полезной нагрузки</w:t>
      </w:r>
    </w:p>
    <w:p>
      <w:pPr>
        <w:spacing w:lineRule="auto" w:line="240" w:before="0" w:after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на платформе ГОНЕЦ-М1 (hosted-payload)</w:t>
      </w:r>
    </w:p>
    <w:p>
      <w:pPr>
        <w:spacing w:lineRule="auto" w:line="240" w:before="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</w:r>
    </w:p>
    <w:p>
      <w:pPr>
        <w:spacing w:lineRule="auto" w:line="240" w:before="280" w:after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36"/>
        </w:rPr>
        <w:t>ИССЛЕДОВАНИЕ ИНТЕГРАЦИИ</w:t>
      </w:r>
    </w:p>
    <w:p>
      <w:pPr>
        <w:spacing w:lineRule="auto" w:line="240" w:before="160" w:after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Документ: АВРОРА-ГОНЕЦ-001 (предварительная редакция)</w:t>
      </w:r>
    </w:p>
    <w:p>
      <w:pPr>
        <w:spacing w:lineRule="auto" w:line="240" w:before="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</w:r>
    </w:p>
    <w:p>
      <w:pPr>
        <w:spacing w:lineRule="auto" w:line="240" w:before="600" w:after="0"/>
        <w:ind w:firstLine="0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Прикладное исследование в составе проекта АВРОРА;</w:t>
      </w:r>
    </w:p>
    <w:p>
      <w:pPr>
        <w:spacing w:lineRule="auto" w:line="240" w:before="0" w:after="0"/>
        <w:ind w:firstLine="0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не является частью технического проекта СИЯНИЕ-ТП-001</w:t>
      </w:r>
    </w:p>
    <w:p>
      <w:pPr>
        <w:spacing w:lineRule="auto" w:line="240" w:before="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</w:r>
    </w:p>
    <w:p>
      <w:pPr>
        <w:spacing w:lineRule="auto" w:line="240" w:before="240" w:after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Москва — 2026</w:t>
      </w:r>
    </w:p>
    <w:p>
      <w:r>
        <w:br w:type="page"/>
      </w:r>
    </w:p>
    <w:p>
      <w:pPr>
        <w:spacing w:lineRule="auto" w:line="240" w:before="0" w:after="28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СОДЕРЖАНИЕ</w:t>
      </w:r>
    </w:p>
    <w:p>
      <w:pPr>
        <w:spacing w:lineRule="auto" w:line="360" w:before="0" w:after="0"/>
        <w:ind w:firstLine="0"/>
      </w:pPr>
      <w:r>
        <w:fldChar w:fldCharType="begin"/>
        <w:instrText xml:space="preserve">TOC \o "1-3" \h \z \u</w:instrText>
        <w:fldChar w:fldCharType="separate"/>
      </w:r>
      <w:r>
        <w:rPr>
          <w:rFonts w:ascii="Times New Roman" w:hAnsi="Times New Roman"/>
          <w:b w:val="0"/>
          <w:i/>
          <w:color w:val="555555"/>
          <w:sz w:val="22"/>
        </w:rPr>
        <w:t>Оглавление формируется в Word: выделить всё (Ctrl+A) и нажать F9.</w:t>
      </w:r>
      <w:r>
        <w:fldChar w:fldCharType="end"/>
      </w:r>
    </w:p>
    <w:p>
      <w:pPr>
        <w:spacing w:lineRule="auto" w:line="240" w:before="160" w:after="0"/>
        <w:ind w:firstLine="0"/>
      </w:pPr>
      <w:r>
        <w:rPr>
          <w:rFonts w:ascii="Times New Roman" w:hAnsi="Times New Roman"/>
          <w:b w:val="0"/>
          <w:i/>
          <w:color w:val="555555"/>
          <w:sz w:val="18"/>
        </w:rPr>
        <w:t>[Для обновления оглавления откройте в Word и нажмите Ctrl+A, затем F9]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1  ИДЕЯ И АНАЛОГ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Рассматривается размещение </w:t>
      </w:r>
      <w:r>
        <w:rPr>
          <w:rFonts w:ascii="Times New Roman" w:hAnsi="Times New Roman"/>
          <w:b/>
          <w:i w:val="0"/>
          <w:color w:val="000000"/>
          <w:sz w:val="28"/>
        </w:rPr>
        <w:t>навигационно-временно́й ПН АВРОРЫ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(сигнал L-диапазона +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бортовой стандарт частоты CSAC + опционально ISL-дальнометрия) как </w:t>
      </w:r>
      <w:r>
        <w:rPr>
          <w:rFonts w:ascii="Times New Roman" w:hAnsi="Times New Roman"/>
          <w:b/>
          <w:i w:val="0"/>
          <w:color w:val="000000"/>
          <w:sz w:val="28"/>
        </w:rPr>
        <w:t>hosted-payload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на космических аппаратах новой российской системы связи </w:t>
      </w:r>
      <w:r>
        <w:rPr>
          <w:rFonts w:ascii="Times New Roman" w:hAnsi="Times New Roman"/>
          <w:b/>
          <w:i w:val="0"/>
          <w:color w:val="000000"/>
          <w:sz w:val="28"/>
        </w:rPr>
        <w:t>ГОНЕЦ-М1</w:t>
      </w:r>
      <w:r>
        <w:rPr>
          <w:rFonts w:ascii="Times New Roman" w:hAnsi="Times New Roman"/>
          <w:b w:val="0"/>
          <w:i w:val="0"/>
          <w:color w:val="000000"/>
          <w:sz w:val="28"/>
        </w:rPr>
        <w:t>, с предоставлением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навигации и синхронизации как дополнительного сервиса</w:t>
      </w:r>
      <w:r>
        <w:rPr>
          <w:rFonts w:ascii="Times New Roman" w:hAnsi="Times New Roman"/>
          <w:b w:val="0"/>
          <w:i w:val="0"/>
          <w:color w:val="000000"/>
          <w:sz w:val="28"/>
        </w:rPr>
        <w:t>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Прямой коммерческий и инженерный аналог — </w:t>
      </w:r>
      <w:r>
        <w:rPr>
          <w:rFonts w:ascii="Times New Roman" w:hAnsi="Times New Roman"/>
          <w:b/>
          <w:i w:val="0"/>
          <w:color w:val="000000"/>
          <w:sz w:val="28"/>
        </w:rPr>
        <w:t>Iridium STL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(Satellite Time &amp; Location):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сервис защищённого времени и местоположения, размещённый на связной LEO-группировке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Iridium. Принцип тот же: не строить отдельное созвездие PNT, а «подсадить» нагрузку на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существующую/планируемую инфраструктуру.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Позиционирование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сохраняется как у АВРОРЫ: </w:t>
      </w:r>
      <w:r>
        <w:rPr>
          <w:rFonts w:ascii="Times New Roman" w:hAnsi="Times New Roman"/>
          <w:b/>
          <w:i w:val="0"/>
          <w:color w:val="000000"/>
          <w:sz w:val="28"/>
        </w:rPr>
        <w:t>LEO-усиление ГЛОНАСС, не замена MEO.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2  СИСТЕМА ГОНЕЦ — ИСХОДНЫЕ ДАННЫЕ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1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Система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Орбита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КА (план)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Платформа / масса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Диапазон</w:t>
            </w:r>
          </w:p>
        </w:tc>
        <w:tc>
          <w:tcPr>
            <w:tcW w:type="dxa" w:w="155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Статус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ГОНЕЦ-М (2-е пок.)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1350–1500 км, 82,5–82,6°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12 (4 пл.×3)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КАУР-1, 280 кг, ≤300 Вт, 5 лет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UHF (~0,2–0,4 ГГц)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 эксплуатации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ГОНЕЦ-М1 (новое пок.)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~1400–1500 км, 82,6°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28 (по др. источ. 48: 6×8)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новая безгермоплатформа Решетнёва, ~220 кг, </w:t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10 лет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, ФАР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P/S/C-band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развёртывание ~2029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Марафон IoT (Сфера)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~750 км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264 (иногда 137), 12 пл.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малые 1,5–50 кг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тест-КА 28.12.2025; программа приостанавливалась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ГОНЕЦ.МКА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LEO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40 к 2027 → до 1000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малые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55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планы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Принятая для расчёта конфигурация: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</w:t>
      </w:r>
      <w:r>
        <w:rPr>
          <w:rFonts w:ascii="Times New Roman" w:hAnsi="Times New Roman"/>
          <w:b/>
          <w:i w:val="0"/>
          <w:color w:val="000000"/>
          <w:sz w:val="28"/>
        </w:rPr>
        <w:t>106 КА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на платформе ГОНЕЦ-М1, орбита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1500 км, наклонение 82,5°</w:t>
      </w:r>
      <w:r>
        <w:rPr>
          <w:rFonts w:ascii="Times New Roman" w:hAnsi="Times New Roman"/>
          <w:b w:val="0"/>
          <w:i w:val="0"/>
          <w:color w:val="000000"/>
          <w:sz w:val="28"/>
        </w:rPr>
        <w:t>, 6 плоскостей (Walker-star).</w:t>
      </w:r>
    </w:p>
    <w:p>
      <w:pPr>
        <w:spacing w:lineRule="auto" w:line="360" w:before="80" w:after="80"/>
        <w:ind w:firstLine="0" w:left="850" w:right="850"/>
        <w:jc w:val="both"/>
      </w:pPr>
      <w:r>
        <w:rPr>
          <w:rFonts w:ascii="Times New Roman" w:hAnsi="Times New Roman"/>
          <w:b/>
          <w:i/>
          <w:color w:val="555555"/>
          <w:sz w:val="28"/>
        </w:rPr>
        <w:t>Оговорка по числу 106.</w:t>
      </w:r>
      <w:r>
        <w:rPr>
          <w:rFonts w:ascii="Times New Roman" w:hAnsi="Times New Roman"/>
          <w:b w:val="0"/>
          <w:i/>
          <w:color w:val="555555"/>
          <w:sz w:val="28"/>
        </w:rPr>
        <w:t xml:space="preserve"> В открытых источниках числа 106 нет — это проектная</w:t>
      </w:r>
    </w:p>
    <w:p>
      <w:pPr>
        <w:spacing w:lineRule="auto" w:line="360" w:before="80" w:after="80"/>
        <w:ind w:firstLine="0" w:left="850" w:right="850"/>
        <w:jc w:val="both"/>
      </w:pPr>
      <w:r>
        <w:rPr>
          <w:rFonts w:ascii="Times New Roman" w:hAnsi="Times New Roman"/>
          <w:b w:val="0"/>
          <w:i/>
          <w:color w:val="555555"/>
          <w:sz w:val="28"/>
        </w:rPr>
        <w:t>оценка заказчика. Официальные опорные: 28 (ГОНЕЦ-М1), 137–264 (Марафон IoT).</w:t>
      </w:r>
    </w:p>
    <w:p>
      <w:pPr>
        <w:spacing w:lineRule="auto" w:line="360" w:before="80" w:after="80"/>
        <w:ind w:firstLine="0" w:left="850" w:right="850"/>
        <w:jc w:val="both"/>
      </w:pPr>
      <w:r>
        <w:rPr>
          <w:rFonts w:ascii="Times New Roman" w:hAnsi="Times New Roman"/>
          <w:b w:val="0"/>
          <w:i/>
          <w:color w:val="555555"/>
          <w:sz w:val="28"/>
        </w:rPr>
        <w:t>106 принято как вход исследования; при ином числе геометрию следует пересчитать.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Источники: [Гонец (Вики)](https://ru.wikipedia.org/wiki/Гонец</w:t>
      </w:r>
      <w:r>
        <w:rPr>
          <w:rFonts w:ascii="Times New Roman" w:hAnsi="Times New Roman"/>
          <w:b w:val="0"/>
          <w:i/>
          <w:color w:val="000000"/>
          <w:sz w:val="28"/>
        </w:rPr>
        <w:t>(спутниковая</w:t>
      </w:r>
      <w:r>
        <w:rPr>
          <w:rFonts w:ascii="Times New Roman" w:hAnsi="Times New Roman"/>
          <w:b w:val="0"/>
          <w:i w:val="0"/>
          <w:color w:val="000000"/>
          <w:sz w:val="28"/>
        </w:rPr>
        <w:t>система_связи)),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[russianspaceweb.com/gonets.html](https://www.russianspaceweb.com/gonets.html),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[Gunter's Gonets-M1](https://space.skyrocket.de/doc_sdat/gonets-m1.htm),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[ТАСС (Марафон)](https://tass.ru/kosmos/12033241),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[ComNews, 12.2025](https://www.comnews.ru/content/243120/2025-12-24/2025-w52/1007/marafonec-vernulsya-distanciyu-testovyy-sputnik-marafon-iot-vzletit-cherez-3-dnya).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3  ГЕОМЕТРИЯ ГРУППИРОВКИ (РЕЗУЛЬТАТ МОДЕЛИРОВАНИЯ)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Геометрия доступности рассчитана автономным симулятором (</w:t>
      </w:r>
      <w:r>
        <w:rPr>
          <w:rFonts w:ascii="Courier New" w:hAnsi="Courier New"/>
          <w:b w:val="0"/>
          <w:i w:val="0"/>
          <w:color w:val="7B0000"/>
          <w:sz w:val="22"/>
        </w:rPr>
        <w:t>aurora/pnt/gonets_hosted.py</w:t>
      </w:r>
      <w:r>
        <w:rPr>
          <w:rFonts w:ascii="Times New Roman" w:hAnsi="Times New Roman"/>
          <w:b w:val="0"/>
          <w:i w:val="0"/>
          <w:color w:val="000000"/>
          <w:sz w:val="28"/>
        </w:rPr>
        <w:t>):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круговые орбиты, кеплеровская пропагация + вращение Земли, сетка наблюдателей по Земле,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окно 6 ч с шагом 120 с. Метрики — число видимых КА (N_vis), PDOP (по матрице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направляющих косинусов в ENU), доступность (доля времени с N_vis ≥ 4).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2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Пояс широт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N_vis (маска 5°)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Доступность ≥4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PDOP медиана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PDOP p95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Экваториальный (0–30°)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5,4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99,6 %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2,83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4,14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Средние (30–55°)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7,3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100 %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2,06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3,06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Высокие (55–83°)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14,4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100 %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1,44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1,78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Территория РФ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(41–82°)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14,4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(мин 7,8)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100 %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1,41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1,62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nets106_geomet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Видимость, PDOP и доступность по широте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Интерпретация.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Форма «U» по видимости и «∩» по PDOP — характерная подпись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приполярной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группировки: наклонение 82,5° концентрирует покрытие над высокими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широтами. Конфигурация ГОНЕЦ </w:t>
      </w:r>
      <w:r>
        <w:rPr>
          <w:rFonts w:ascii="Times New Roman" w:hAnsi="Times New Roman"/>
          <w:b/>
          <w:i w:val="0"/>
          <w:color w:val="000000"/>
          <w:sz w:val="28"/>
        </w:rPr>
        <w:t>сама по себе оптимальна для суверенной задачи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максимум геометрии приходится на РФ и Арктику, а не на экватор.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Главный вывод по геометрии: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106 КА ГОНЕЦ-М1 </w:t>
      </w:r>
      <w:r>
        <w:rPr>
          <w:rFonts w:ascii="Times New Roman" w:hAnsi="Times New Roman"/>
          <w:b/>
          <w:i w:val="0"/>
          <w:color w:val="000000"/>
          <w:sz w:val="28"/>
        </w:rPr>
        <w:t>более чем достаточно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для навигации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и синхронизации над РФ. PDOP p95 = </w:t>
      </w:r>
      <w:r>
        <w:rPr>
          <w:rFonts w:ascii="Times New Roman" w:hAnsi="Times New Roman"/>
          <w:b/>
          <w:i w:val="0"/>
          <w:color w:val="000000"/>
          <w:sz w:val="28"/>
        </w:rPr>
        <w:t>1,62 над РФ в одиночном режиме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уровень,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сопоставимый с комбинированным режимом полной 300-КА АВРОРЫ (1,67, §5 ТП) и существенно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лучше её автономного p95 5,0. Доступность ≥4 КА — 100 % по всей территории РФ; над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Арктикой геометрия наилучшая (N_vis 14, PDOP 1,4).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3.1  Валидация и границы метода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Метод проверен: на конфигурации 300 КА / 1000 км / 75° даёт N_vis ≈ 14 — совпадает с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§-результатом АВРОРЫ.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Это геометрия (PDOP), а не точность.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Итоговая точность = UERE × PDOP; UERE на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1500 км несколько хуже (см. §4) — отдельный расчёт.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Фаза Walker не оптимизирована (F = 2 принято разумно, не лучшее) — PDOP может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отличаться на ±10–20 %.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Сравнение «106 ГОНЕЦ vs 300 АВРОРА» корректно </w:t>
      </w:r>
      <w:r>
        <w:rPr>
          <w:rFonts w:ascii="Times New Roman" w:hAnsi="Times New Roman"/>
          <w:b/>
          <w:i w:val="0"/>
          <w:color w:val="000000"/>
          <w:sz w:val="28"/>
        </w:rPr>
        <w:t>только над РФ/Арктикой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(за счёт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приполярности); на экваторе геометрия слабее (N_vis 5,4, PDOP до ~4).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Совмещение с ГЛОНАСС не учитывалось — в комбинации показатели лучше.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3.2  Сквозная точность PVT (CEP/верт.)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Геометрия переведена в точность по методике §45 ТП: ошибка = DOP × UERE, где</w:t>
      </w:r>
    </w:p>
    <w:p>
      <w:pPr>
        <w:spacing w:lineRule="auto" w:line="360" w:before="0" w:after="0"/>
        <w:ind w:firstLine="709"/>
        <w:jc w:val="both"/>
      </w:pPr>
      <w:r>
        <w:rPr>
          <w:rFonts w:ascii="Courier New" w:hAnsi="Courier New"/>
          <w:b w:val="0"/>
          <w:i w:val="0"/>
          <w:color w:val="000000"/>
          <w:sz w:val="28"/>
        </w:rPr>
        <w:t>CEP_95 = 1,73· HDOP· UERE</w:t>
      </w:r>
      <w:r>
        <w:rPr>
          <w:rFonts w:ascii="Times New Roman" w:hAnsi="Times New Roman"/>
          <w:b w:val="0"/>
          <w:i w:val="0"/>
          <w:color w:val="000000"/>
          <w:sz w:val="28"/>
        </w:rPr>
        <w:t>, $V_{95}=1{,}96\cdot VDOP\cdot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\mathrm{UERE}$ (коэффициенты сверены с §45.2). Геометрия над РФ: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HDOP = 0,66</w:t>
      </w:r>
      <w:r>
        <w:rPr>
          <w:rFonts w:ascii="Times New Roman" w:hAnsi="Times New Roman"/>
          <w:b w:val="0"/>
          <w:i w:val="0"/>
          <w:color w:val="000000"/>
          <w:sz w:val="28"/>
        </w:rPr>
        <w:t>, VDOP = 1,26 (медиана). UERE кода dual-freq на 1500 км пересчитан по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§37.3 с шумом приёмника ×1,5 (из-за −3,5 дБ, §4.1): </w:t>
      </w:r>
      <w:r>
        <w:rPr>
          <w:rFonts w:ascii="Times New Roman" w:hAnsi="Times New Roman"/>
          <w:b/>
          <w:i w:val="0"/>
          <w:color w:val="000000"/>
          <w:sz w:val="28"/>
        </w:rPr>
        <w:t>0,693 м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практически как у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АВРОРЫ (0,70 м), т.е. высота на ошибку дальности почти не влияет.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3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Класс сервиса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UERE, м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CEP50, м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CEP95, м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Верт. 95%, м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Код dual-freq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0,693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0,38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0,80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1,72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PPP dual-freq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0,233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0,13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0,27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0,58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PPP-RTK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0,131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0,07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0,15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0,33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(При худшей геометрии p95 над РФ: код dual CEP95 ≈ 1,06 м. В комбинации с ГЛОНАСС код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dual CEP95 ≈ 0,56 м.)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1418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nets_pvt_accurac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2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Точность PVT над РФ vs АВРОРА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Вывод по точности: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над РФ hosted-вариант достигает </w:t>
      </w:r>
      <w:r>
        <w:rPr>
          <w:rFonts w:ascii="Times New Roman" w:hAnsi="Times New Roman"/>
          <w:b/>
          <w:i w:val="0"/>
          <w:color w:val="000000"/>
          <w:sz w:val="28"/>
        </w:rPr>
        <w:t>AURORA-классов точности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сантиметры в PPP-RTK (CEP95 ≈ 0,15 м), дециметры в PPP (0,27 м), субметр кодом (0,80 м).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Оговорка: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числа получаются даже лучше эталона АВРОРЫ (§45.2) **не потому, что система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лучше**, а из-за благоприятной приполярной геометрии именно над РФ (HDOP 0,66 против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номинальных 1,1 АВРОРЫ); на экваторе точность была бы заметно хуже. UERE — прогнозная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величина (§37.3), подлежит лётному подтверждению.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4  РАЗМЕЩЕНИЕ ПН НА ГОНЕЦ-М1 (ПРЕДВАРИТЕЛЬНО)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4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Аспект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Оценка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Замечание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Орбита 1500 км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+3,5 дБ потерь на трассе vs 1000 км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давит на бюджет Сервиса А; Сервис Б (30 Вт+8 дБи) сохраняет запас — пересчёт по </w:t>
            </w:r>
            <w:r>
              <w:rPr>
                <w:rFonts w:ascii="Courier New" w:hAnsi="Courier New"/>
                <w:b w:val="0"/>
                <w:i w:val="0"/>
                <w:color w:val="7B0000"/>
                <w:sz w:val="22"/>
              </w:rPr>
              <w:t>user_link_budget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Наклонение 82,6°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лучше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75° АВРОРЫ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отличная высокоширотная/арктическая геометрия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Частоты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ГОНЕЦ — UHF/P/S/C; навигация АВРОРЫ — </w:t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L-диапазон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нужна </w:t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новая ПН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+ частотная координация МСЭ (не переиспользование связной ПН)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Бус ~220 кг, ≤300 Вт, 10 лет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запас под нав-ПН есть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вся АВРОРА-КА = 140 кг; инкремент ПН (L-передатчик + антенна + CSAC) мал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Бортовой стандарт частоты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CSAC — чип-масштаб, ~35 г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ключевой носимый элемент сервиса синхронизации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Радиация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1500 км — выше дозы (край внутр. пояса)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ужесточает скрининг ЭКБ vs 1000 км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ISL-дальнометрия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опционально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повышает автономность синхронизации/эфемерид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Вывод: реальный носитель — </w:t>
      </w:r>
      <w:r>
        <w:rPr>
          <w:rFonts w:ascii="Times New Roman" w:hAnsi="Times New Roman"/>
          <w:b/>
          <w:i w:val="0"/>
          <w:color w:val="000000"/>
          <w:sz w:val="28"/>
        </w:rPr>
        <w:t>только ГОНЕЦ-М1-класс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(бус ~220 кг). Малые КА Марафона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(1,5 кг) не вмещают CSAC + L-передатчик и для полного PNT не подходят.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4.1  Бюджет линии на 1500 км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Бюджет линии пересчитан той же методикой и константами, что у АВРОРЫ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(</w:t>
      </w:r>
      <w:r>
        <w:rPr>
          <w:rFonts w:ascii="Courier New" w:hAnsi="Courier New"/>
          <w:b w:val="0"/>
          <w:i w:val="0"/>
          <w:color w:val="7B0000"/>
          <w:sz w:val="22"/>
        </w:rPr>
        <w:t>aurora/pnt/link_budget.py</w:t>
      </w:r>
      <w:r>
        <w:rPr>
          <w:rFonts w:ascii="Times New Roman" w:hAnsi="Times New Roman"/>
          <w:b w:val="0"/>
          <w:i w:val="0"/>
          <w:color w:val="000000"/>
          <w:sz w:val="28"/>
        </w:rPr>
        <w:t>), с заменой высоты орбиты 1000 → 1500 км.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5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Сигнал / терминал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Место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C/N₀ 1000 км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C/N₀ 1500 км</w:t>
            </w:r>
          </w:p>
        </w:tc>
        <w:tc>
          <w:tcPr>
            <w:tcW w:type="dxa" w:w="1871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Δ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L1 / Survey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90°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73,9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70,4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−3,5 дБ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L1 / Survey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30°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67,9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64,4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−3,5 дБ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L1 / Handheld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30°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57,6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54,1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−3,5 дБ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L1 / Handheld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10°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48,4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44,9</w:t>
            </w:r>
          </w:p>
        </w:tc>
        <w:tc>
          <w:tcPr>
            <w:tcW w:type="dxa" w:w="1871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−3,5 дБ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Потеря на трассе при 1000 → 1500 км — равномерно −3,5 дБ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(= 20·lg(1,5)). Линия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закрывается с большим запасом: нав-маржа (Survey, 30°) = </w:t>
      </w:r>
      <w:r>
        <w:rPr>
          <w:rFonts w:ascii="Times New Roman" w:hAnsi="Times New Roman"/>
          <w:b/>
          <w:i w:val="0"/>
          <w:color w:val="000000"/>
          <w:sz w:val="28"/>
        </w:rPr>
        <w:t>34 дБ</w:t>
      </w:r>
      <w:r>
        <w:rPr>
          <w:rFonts w:ascii="Times New Roman" w:hAnsi="Times New Roman"/>
          <w:b w:val="0"/>
          <w:i w:val="0"/>
          <w:color w:val="000000"/>
          <w:sz w:val="28"/>
        </w:rPr>
        <w:t>, термошум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псевдодальности ≈ 20 см; даже бытовой терминал (Handheld) на 10° даёт C/N₀ ≈ 45 дБ-Гц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(порог навигации 30, слежения 25). Анти-джам-запас над MEO-ГНСС с учётом −3,5 дБ: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Сервис А +7,5 дБ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(было +11), </w:t>
      </w:r>
      <w:r>
        <w:rPr>
          <w:rFonts w:ascii="Times New Roman" w:hAnsi="Times New Roman"/>
          <w:b/>
          <w:i w:val="0"/>
          <w:color w:val="000000"/>
          <w:sz w:val="28"/>
        </w:rPr>
        <w:t>Сервис Б +19,5 дБ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(было +23) — последнее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по-прежнему уровня Xona (+20).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68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k_budget_cn0_gonets15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6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3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Бюджет линии C/N₀ от угла места (1500 км)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Вывод по линии: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переход на 1500 км стоит модест­ные −3,5 дБ; бюджет линии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состоятелен</w:t>
      </w:r>
      <w:r>
        <w:rPr>
          <w:rFonts w:ascii="Times New Roman" w:hAnsi="Times New Roman"/>
          <w:b w:val="0"/>
          <w:i w:val="0"/>
          <w:color w:val="000000"/>
          <w:sz w:val="28"/>
        </w:rPr>
        <w:t>, запасы навигации и анти-джама сохраняются.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5  ЭКОНОМИКА HOSTED-ВАРИАНТА (ОЦЕНКА ПЕРВОГО ПОРЯДКА)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Сравнение с выделенной группировкой АВРОРЫ (300 КА, §51 ТП). </w:t>
      </w:r>
      <w:r>
        <w:rPr>
          <w:rFonts w:ascii="Times New Roman" w:hAnsi="Times New Roman"/>
          <w:b/>
          <w:i w:val="0"/>
          <w:color w:val="000000"/>
          <w:sz w:val="28"/>
        </w:rPr>
        <w:t>Ключевое допущение: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106 КА ГОНЕЦ-М1 строятся и запускаются для связи </w:t>
      </w:r>
      <w:r>
        <w:rPr>
          <w:rFonts w:ascii="Times New Roman" w:hAnsi="Times New Roman"/>
          <w:b/>
          <w:i w:val="0"/>
          <w:color w:val="000000"/>
          <w:sz w:val="28"/>
        </w:rPr>
        <w:t>в любом случае</w:t>
      </w:r>
      <w:r>
        <w:rPr>
          <w:rFonts w:ascii="Times New Roman" w:hAnsi="Times New Roman"/>
          <w:b w:val="0"/>
          <w:i w:val="0"/>
          <w:color w:val="000000"/>
          <w:sz w:val="28"/>
        </w:rPr>
        <w:t>, а АВРОРА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доплачивает только за инкремент нав-ПН + хостинг. Расчёт — </w:t>
      </w:r>
      <w:r>
        <w:rPr>
          <w:rFonts w:ascii="Courier New" w:hAnsi="Courier New"/>
          <w:b w:val="0"/>
          <w:i w:val="0"/>
          <w:color w:val="7B0000"/>
          <w:sz w:val="22"/>
        </w:rPr>
        <w:t>aurora/pnt/gonets_econ.py</w:t>
      </w:r>
      <w:r>
        <w:rPr>
          <w:rFonts w:ascii="Times New Roman" w:hAnsi="Times New Roman"/>
          <w:b w:val="0"/>
          <w:i w:val="0"/>
          <w:color w:val="000000"/>
          <w:sz w:val="28"/>
        </w:rPr>
        <w:t>.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6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Вариант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LCC за 7 лет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Кратность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Выделенная АВРОРА (300 КА)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113,4 млрд ₽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базовая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Hosted на ГОНЕЦ (106 КА)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≈ 31,6 млрд ₽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× 3,6 дешевле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Hosted + расширение ГОНЕЦ 28→106 (пессим.)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≈ 45,0 млрд ₽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× 2,5 дешевле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Структура hosted-CAPEX (≈ 21 млрд ₽): NRE адаптации ПН 5,0; нав-ПН+CSAC ×106 — 6,0;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интеграция/хостинг — 2,1; доп. выведение (масса ПН) — 2,0; наземный нав-контур — 6,0.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OPEX ниже (1,5 vs 3,6 млрд ₽/год — нет своей платформы); восполнение тоже ниже (буса́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заменяет оператор ГОНЕЦ, АВРОРА восполняет только ПН).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1418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nets_econ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4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Стоимость: выделенная vs hosted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Существенная оговорка.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Экономия ×3,6 справедлива, **только если носители уже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финансируются для связи**. Официально у ГОНЕЦ-М1 28 КА, не 106; если расширение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28→106 ляжет на АВРОРУ (+13,4 млрд ₽), выигрыш сокращается до ×2,5. Числа — первого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порядка; главная неопределённость — стоимость хостинга/интерфейса оператора.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6  ПРЕИМУЩЕСТВА ВАРИАНТА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Резкая экономия CAPEX: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не строится выделенная группировка АВРОРЫ из 300 КА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(LCC 113–183 млрд ₽, §51 ТП). Оплачивается лишь инкремент ПН на готовой/планируемой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национальной платформе.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Суверенность сохраняется: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ГОНЕЦ — российская система (ИСС Решетнёва).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Арктика: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приполярная орбита даёт лучшую геометрию именно над РФ.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Прецедент: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Iridium STL подтверждает работоспособность hosted-PNT-модели.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Ресурс: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платформа ГОНЕЦ-М1 рассчитана на 10 лет (vs 5 у ГОНЕЦ-М).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7  РИСКИ И ОТКРЫТЫЕ ВОПРОСЫ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1) </w:t>
      </w:r>
      <w:r>
        <w:rPr>
          <w:rFonts w:ascii="Times New Roman" w:hAnsi="Times New Roman"/>
          <w:b/>
          <w:i w:val="0"/>
          <w:color w:val="000000"/>
          <w:sz w:val="28"/>
        </w:rPr>
        <w:t>Программная волатильность ГОНЕЦ: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Марафон IoT приостанавливался ради экономии;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ГОНЕЦ-М1 сдвигался к ~2029. Hosted-вариант наследует график и риски носителя.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2) </w:t>
      </w:r>
      <w:r>
        <w:rPr>
          <w:rFonts w:ascii="Times New Roman" w:hAnsi="Times New Roman"/>
          <w:b/>
          <w:i w:val="0"/>
          <w:color w:val="000000"/>
          <w:sz w:val="28"/>
        </w:rPr>
        <w:t>Число КА: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106 — оценка заказчика, официально 28 (М1). Нужно согласовать: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расширение М1 до 106 либо отдельный «ГОНЕЦ-ПНТ»-вариант.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3) </w:t>
      </w:r>
      <w:r>
        <w:rPr>
          <w:rFonts w:ascii="Times New Roman" w:hAnsi="Times New Roman"/>
          <w:b/>
          <w:i w:val="0"/>
          <w:color w:val="000000"/>
          <w:sz w:val="28"/>
        </w:rPr>
        <w:t>Размещение ПН: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требуется интерфейс hosted-payload оператора (масса/мощность/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наведение/ЭМС) — подтвердить с ИСС Решетнёва.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4) </w:t>
      </w:r>
      <w:r>
        <w:rPr>
          <w:rFonts w:ascii="Times New Roman" w:hAnsi="Times New Roman"/>
          <w:b/>
          <w:i w:val="0"/>
          <w:color w:val="000000"/>
          <w:sz w:val="28"/>
        </w:rPr>
        <w:t>Спектр: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L-диапазон навигации требует частотной координации (МСЭ), отдельно от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связных полос ГОНЕЦ.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5) </w:t>
      </w:r>
      <w:r>
        <w:rPr>
          <w:rFonts w:ascii="Times New Roman" w:hAnsi="Times New Roman"/>
          <w:b/>
          <w:i w:val="0"/>
          <w:color w:val="000000"/>
          <w:sz w:val="28"/>
        </w:rPr>
        <w:t>Точность (UERE) на 1500 км: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ниже, чем на 1000 км — отдельный сквозной расчёт PVT.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6) </w:t>
      </w:r>
      <w:r>
        <w:rPr>
          <w:rFonts w:ascii="Times New Roman" w:hAnsi="Times New Roman"/>
          <w:b/>
          <w:i w:val="0"/>
          <w:color w:val="000000"/>
          <w:sz w:val="28"/>
        </w:rPr>
        <w:t>Управление и эфемериды: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ADCS и стабильность платформы ГОНЕЦ под нав-требования —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проверить (нужны точная орбита и удержание).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8  ПРЕДВАРИТЕЛЬНЫЕ ВЫВОДЫ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1) </w:t>
      </w:r>
      <w:r>
        <w:rPr>
          <w:rFonts w:ascii="Times New Roman" w:hAnsi="Times New Roman"/>
          <w:b/>
          <w:i w:val="0"/>
          <w:color w:val="000000"/>
          <w:sz w:val="28"/>
        </w:rPr>
        <w:t>Геометрически вариант состоятелен.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106 КА ГОНЕЦ-М1 (1500 км, 82,5°) обеспечивают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над РФ N_vis ≈ 14, доступность ≥4 КА = 100 %, PDOP p95 ≈ 1,6 — навигацию уровня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«почти самостоятельной системы» плюс синхронизацию, </w:t>
      </w:r>
      <w:r>
        <w:rPr>
          <w:rFonts w:ascii="Times New Roman" w:hAnsi="Times New Roman"/>
          <w:b/>
          <w:i w:val="0"/>
          <w:color w:val="000000"/>
          <w:sz w:val="28"/>
        </w:rPr>
        <w:t>без строительства 300 КА</w:t>
      </w:r>
      <w:r>
        <w:rPr>
          <w:rFonts w:ascii="Times New Roman" w:hAnsi="Times New Roman"/>
          <w:b w:val="0"/>
          <w:i w:val="0"/>
          <w:color w:val="000000"/>
          <w:sz w:val="28"/>
        </w:rPr>
        <w:t>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2) </w:t>
      </w:r>
      <w:r>
        <w:rPr>
          <w:rFonts w:ascii="Times New Roman" w:hAnsi="Times New Roman"/>
          <w:b/>
          <w:i w:val="0"/>
          <w:color w:val="000000"/>
          <w:sz w:val="28"/>
        </w:rPr>
        <w:t>Точность над РФ — AURORA-класса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(§3.2): UERE на 1500 км ≈ 0,69 м (как у АВРОРЫ),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CEP95 ≈ 0,15 м (PPP-RTK) / 0,27 м (PPP) / 0,80 м (код dual). UERE почти не зависит от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высоты; точность определяется геометрией, а она над РФ благоприятна.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3) </w:t>
      </w:r>
      <w:r>
        <w:rPr>
          <w:rFonts w:ascii="Times New Roman" w:hAnsi="Times New Roman"/>
          <w:b/>
          <w:i w:val="0"/>
          <w:color w:val="000000"/>
          <w:sz w:val="28"/>
        </w:rPr>
        <w:t>Линия закрывается: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переход на 1500 км стоит −3,5 дБ, нав-маржа ≈ 34 дБ, анти-джам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Сервиса Б +19,5 дБ над MEO (§4.1).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4) </w:t>
      </w:r>
      <w:r>
        <w:rPr>
          <w:rFonts w:ascii="Times New Roman" w:hAnsi="Times New Roman"/>
          <w:b/>
          <w:i w:val="0"/>
          <w:color w:val="000000"/>
          <w:sz w:val="28"/>
        </w:rPr>
        <w:t>Экономически вариант резко выгоднее: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LCC-7 ≈ 31,6 млрд ₽ против 113,4 у выделенной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(× 3,6; даже с расширением ГОНЕЦ — × 2,5), §5 — </w:t>
      </w:r>
      <w:r>
        <w:rPr>
          <w:rFonts w:ascii="Times New Roman" w:hAnsi="Times New Roman"/>
          <w:b/>
          <w:i w:val="0"/>
          <w:color w:val="000000"/>
          <w:sz w:val="28"/>
        </w:rPr>
        <w:t>при условии</w:t>
      </w:r>
      <w:r>
        <w:rPr>
          <w:rFonts w:ascii="Times New Roman" w:hAnsi="Times New Roman"/>
          <w:b w:val="0"/>
          <w:i w:val="0"/>
          <w:color w:val="000000"/>
          <w:sz w:val="28"/>
        </w:rPr>
        <w:t>, что носители строятся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связи независимо.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5) </w:t>
      </w:r>
      <w:r>
        <w:rPr>
          <w:rFonts w:ascii="Times New Roman" w:hAnsi="Times New Roman"/>
          <w:b/>
          <w:i w:val="0"/>
          <w:color w:val="000000"/>
          <w:sz w:val="28"/>
        </w:rPr>
        <w:t>Конфигурация ГОНЕЦ естественно оптимальна для РФ/Арктики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(приполярность).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6) </w:t>
      </w:r>
      <w:r>
        <w:rPr>
          <w:rFonts w:ascii="Times New Roman" w:hAnsi="Times New Roman"/>
          <w:b/>
          <w:i w:val="0"/>
          <w:color w:val="000000"/>
          <w:sz w:val="28"/>
        </w:rPr>
        <w:t>Решающие следующие шаги: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(а) согласование размещения ПН и числа КА с ИСС Решетнёва;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(б) частотная координация L-диапазона (МСЭ); (в) оценка стоимости хостинга/интерфейса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оператора — главная экономическая неопределённость; (г) лётное подтверждение UERE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(прогнозная величина §37.3) на демонстраторе.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*Источники данных по ГОНЕЦ — §2. Расчёты: геометрия — </w:t>
      </w:r>
      <w:r>
        <w:rPr>
          <w:rFonts w:ascii="Courier New" w:hAnsi="Courier New"/>
          <w:b w:val="0"/>
          <w:i w:val="0"/>
          <w:color w:val="7B0000"/>
          <w:sz w:val="22"/>
        </w:rPr>
        <w:t>aurora/pnt/gonets_hosted.py</w:t>
      </w:r>
      <w:r>
        <w:rPr>
          <w:rFonts w:ascii="Times New Roman" w:hAnsi="Times New Roman"/>
          <w:b w:val="0"/>
          <w:i w:val="0"/>
          <w:color w:val="000000"/>
          <w:sz w:val="28"/>
        </w:rPr>
        <w:t>;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точность PVT — </w:t>
      </w:r>
      <w:r>
        <w:rPr>
          <w:rFonts w:ascii="Courier New" w:hAnsi="Courier New"/>
          <w:b w:val="0"/>
          <w:i w:val="0"/>
          <w:color w:val="7B0000"/>
          <w:sz w:val="22"/>
        </w:rPr>
        <w:t>aurora/pnt/gonets_pvt.py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(методика §45 ТП); бюджет линии —</w:t>
      </w:r>
    </w:p>
    <w:p>
      <w:pPr>
        <w:spacing w:lineRule="auto" w:line="360" w:before="0" w:after="0"/>
        <w:ind w:firstLine="709"/>
        <w:jc w:val="both"/>
      </w:pPr>
      <w:r>
        <w:rPr>
          <w:rFonts w:ascii="Courier New" w:hAnsi="Courier New"/>
          <w:b w:val="0"/>
          <w:i w:val="0"/>
          <w:color w:val="7B0000"/>
          <w:sz w:val="22"/>
        </w:rPr>
        <w:t>aurora/pnt/gonets_linkbudget.py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(переиспользует </w:t>
      </w:r>
      <w:r>
        <w:rPr>
          <w:rFonts w:ascii="Courier New" w:hAnsi="Courier New"/>
          <w:b w:val="0"/>
          <w:i w:val="0"/>
          <w:color w:val="7B0000"/>
          <w:sz w:val="22"/>
        </w:rPr>
        <w:t>link_budget.py</w:t>
      </w:r>
      <w:r>
        <w:rPr>
          <w:rFonts w:ascii="Times New Roman" w:hAnsi="Times New Roman"/>
          <w:b w:val="0"/>
          <w:i w:val="0"/>
          <w:color w:val="000000"/>
          <w:sz w:val="28"/>
        </w:rPr>
        <w:t>); экономика —</w:t>
      </w:r>
    </w:p>
    <w:p>
      <w:pPr>
        <w:spacing w:lineRule="auto" w:line="360" w:before="0" w:after="0"/>
        <w:ind w:firstLine="709"/>
        <w:jc w:val="both"/>
      </w:pPr>
      <w:r>
        <w:rPr>
          <w:rFonts w:ascii="Courier New" w:hAnsi="Courier New"/>
          <w:b w:val="0"/>
          <w:i w:val="0"/>
          <w:color w:val="7B0000"/>
          <w:sz w:val="22"/>
        </w:rPr>
        <w:t>aurora/pnt/gonets_econ.py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(переиспользует </w:t>
      </w:r>
      <w:r>
        <w:rPr>
          <w:rFonts w:ascii="Courier New" w:hAnsi="Courier New"/>
          <w:b w:val="0"/>
          <w:i w:val="0"/>
          <w:color w:val="7B0000"/>
          <w:sz w:val="22"/>
        </w:rPr>
        <w:t>cost_model.py</w:t>
      </w:r>
      <w:r>
        <w:rPr>
          <w:rFonts w:ascii="Times New Roman" w:hAnsi="Times New Roman"/>
          <w:b w:val="0"/>
          <w:i w:val="0"/>
          <w:color w:val="000000"/>
          <w:sz w:val="28"/>
        </w:rPr>
        <w:t>). Рисунки и выгрузки —</w:t>
      </w:r>
    </w:p>
    <w:p>
      <w:pPr>
        <w:spacing w:lineRule="auto" w:line="360" w:before="0" w:after="0"/>
        <w:ind w:firstLine="709"/>
        <w:jc w:val="both"/>
      </w:pPr>
      <w:r>
        <w:rPr>
          <w:rFonts w:ascii="Courier New" w:hAnsi="Courier New"/>
          <w:b w:val="0"/>
          <w:i w:val="0"/>
          <w:color w:val="7B0000"/>
          <w:sz w:val="22"/>
        </w:rPr>
        <w:t>results/gonets/</w:t>
      </w:r>
      <w:r>
        <w:rPr>
          <w:rFonts w:ascii="Times New Roman" w:hAnsi="Times New Roman"/>
          <w:b w:val="0"/>
          <w:i w:val="0"/>
          <w:color w:val="000000"/>
          <w:sz w:val="28"/>
        </w:rPr>
        <w:t>. Все показатели — предварительная инженерная оценка первого порядка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при заявленных допущениях.*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t xml:space="preserve"> PAGE </w:t>
      <w:instrText xml:space="preserve"> PAGE </w:instrText>
    </w:r>
    <w:r>
      <w:rPr>
        <w:rFonts w:ascii="Times New Roman" w:hAnsi="Times New Roman"/>
        <w:sz w:val="24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