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132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 разрабатывается ООО «ШИВА НЕТВОРК» в параллельном проекте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(собственная разработка стандарта частоты). Терминальный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ведётся </w:t>
      </w:r>
      <w:r>
        <w:rPr>
          <w:rFonts w:ascii="Times New Roman" w:hAnsi="Times New Roman"/>
          <w:b/>
          <w:i w:val="0"/>
          <w:color w:val="000000"/>
          <w:sz w:val="28"/>
        </w:rPr>
        <w:t>поиск партнёра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создания/локализации чип-масштабного цезиевого стандарта; до его готовности в проекте заданы граничные ТТХ (Таблица 19) и предусмотрена квалификация на 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 — собственная разработка ООО «ШИВА НЕТВОРК» в параллельном проекте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(стандарт частоты); терминальный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 — ведётся поиск партнёра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создания/локализации. Вне периметра настоящего ТП: ТТХ зафиксированы (§8, Таблица 19),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