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3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Основание: приказ ООО «ШИВА НЕТВОРК» № 11/2026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36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НАУЧНО-ИССЛЕДОВАТЕЛЬСКАЯ РАБОТА «СИЯНИЕ»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Шифр НИР: «Сияние».  Документ: СИЯНИЕ-ТП-001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68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131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научно-исследовательской работы «Сияние» (основание — приказ ООО «ШИВА НЕТВОРК» № 11/2026)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66.6  Синергия с системой «Гонец» и программой «Сфера»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Примечание.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Настоящий подраздел — инженерное предложение по кооперации, основанное на открытых данных о системе «Гонец» и программе «Сфера». Он </w:t>
      </w:r>
      <w:r>
        <w:rPr>
          <w:rFonts w:ascii="Times New Roman" w:hAnsi="Times New Roman"/>
          <w:b/>
          <w:i/>
          <w:color w:val="555555"/>
          <w:sz w:val="28"/>
        </w:rPr>
        <w:t>не опирается на закрытые требования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не является согласованным интерфейсом; конкретные параметры подлежат уточнению с операторами.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</w:t>
      </w:r>
      <w:r>
        <w:rPr>
          <w:rFonts w:ascii="Times New Roman" w:hAnsi="Times New Roman"/>
          <w:b/>
          <w:i w:val="0"/>
          <w:color w:val="000000"/>
          <w:sz w:val="28"/>
        </w:rPr>
        <w:t>«Гонец»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(АО «Спутниковая система «Гонец»», Роскосмос) — низкоорбитальная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связи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(персональная связь, сообщения, M2M/IoT). Вектор модернизации по открытым данным: переход на более низкую орбиту (~750 км), увеличение числа КА и глобальность покрытия в рамках многоорбитальной программы </w:t>
      </w:r>
      <w:r>
        <w:rPr>
          <w:rFonts w:ascii="Times New Roman" w:hAnsi="Times New Roman"/>
          <w:b/>
          <w:i w:val="0"/>
          <w:color w:val="000000"/>
          <w:sz w:val="28"/>
        </w:rPr>
        <w:t>«Сфера»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«Гонец» — связной, а не навигационный сервис; именно поэтому он </w:t>
      </w:r>
      <w:r>
        <w:rPr>
          <w:rFonts w:ascii="Times New Roman" w:hAnsi="Times New Roman"/>
          <w:b/>
          <w:i w:val="0"/>
          <w:color w:val="000000"/>
          <w:sz w:val="28"/>
        </w:rPr>
        <w:t>дополняет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АВРОРА, а не конкурирует с ней.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Взаимное дополнение (что даёт каждая сторона):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даёт «Гонцу»/«Сфере»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«Гонец»/«Сфера» даёт АВРОРА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Суверенное PNT и синхронизацию сети (SHIWA TIME, §28) — снижение зависимости борта и наземки от 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Двусторонний канал данных для доставки коррекций (отсутствует у одностороннего нав-сигнала)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время/частоту для связной группировки (распределённый эталон, §28.6)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Доставка SSR/PPP-RTK-поправок (§44), A-GNSS-ассистирования (§27.3), целостности и аутентификации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и аутентификацию времени (ГОСТ-крипто, §16)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Проверенная российская LEO-платформа малого класса (шина Гонец-М1) под нав-ПН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Арктическое покрытие (наклонение 75°) в общую инфраструктуру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Готовый наземный связной комплекс и каналы M2M/IoT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Три модели сотрудничества: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Hosted payload (общая платформа).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Шина перспективного аппарата «Гонец»/«Сфера» (~280 кг) перекрывает массу АВРОРА (~140 кг, §19) и может нести навигационную ПН как попутную/совмещённую. Эффект: ускорение разработки борта, общая платформенная кооперация.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Гибрид данных (связь «Гонца» как backhaul для PNT).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Навигационный сигнал АВРОРА односторонний; PPP-RTK и время требуют двустороннего канала. «Гонец» доставляет коррекции/время/ассистирование пользователям, АВРОРА — суверенное PNT и синхронизацию сети «Гонца». Конкуренты (Xona) строят канал данных с нуля — здесь он уже есть.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Компонент «Сферы».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позиционируется как </w:t>
      </w:r>
      <w:r>
        <w:rPr>
          <w:rFonts w:ascii="Times New Roman" w:hAnsi="Times New Roman"/>
          <w:b/>
          <w:i w:val="0"/>
          <w:color w:val="000000"/>
          <w:sz w:val="28"/>
        </w:rPr>
        <w:t>навигационно-временно́й столп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многоорбитальной программы наряду со связным «Гонцом» и ДЗЗ: общий наземный сегмент, средства выведения, возможный общий ISL-бэкбон (перекрёстная поддержка, перенос времени между связной и навигационной группировками).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Привязка к фазам: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 синергии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 (демо)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Гибрид данных на наземном стенде: доставка тестовых SSR/времени через каналы «Гонца»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Hosted-payload-демонстратор нав-ПН на платформе «Гонец»/«Сфера»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Ф3–Ф4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Полноценный компонент «Сферы»: общий наземный сегмент, кооперация по выведению, ISL-перекрёст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Ограничения (честно):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орбиты различаются (~750–1500 км у «Гонца» против 1000 км у АВРОРА) — совместное использование плоскостей ограничено; синергия достигается на уровне платформы, данных и программы, а не общей орбиты. Параметры интерфейсов требуют согласования с оператором и закрепления в ОКР-документах (ICD).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НИР «Сияние»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(основание — приказ ООО «ШИВА НЕТВОРК» № 11/2026); система </w:t>
      </w:r>
      <w:r>
        <w:rPr>
          <w:rFonts w:ascii="Times New Roman" w:hAnsi="Times New Roman"/>
          <w:b/>
          <w:i w:val="0"/>
          <w:color w:val="000000"/>
          <w:sz w:val="28"/>
        </w:rPr>
        <w:t>АВРОРА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