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193 рис., 139 табл., 58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 [16, 54, 55].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усиление ГЛОНАСС (а не замена MEO-навигации) — с улучшенными характеристиками сигнала, синхронизации и геометрии покрытия, дополняющими существующую среднеорбитальную группировку.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привязка к национальной шкале UTC(SU) (H-мазер ВРЕМЯ-Ч, §8) — независимо от зарубежных ГНСС (GPS/Galileo/BeiDou) и иностранной инфраструктуры 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инфраструктуры: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датум ПЗ-90.11 (§64), криптозащита навигационного сообщения на ГОСТ (§16), отечественная элементная и наземная база, промышленная кооперация (§66).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 — космического (группировка КА с ISL),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пользовательского и наземного (МКС):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diagram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Структурная схема сегментов системы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≈ 175 м/с (удержание + увод, §19.2)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кг + 30 кг топлива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Общий вид системы — группировка Walker 300/15 на орбите 1000 км (наклонение 75°)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конфигурация космического аппарата с подписанными элементами (навигационная ПН надира,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солнечные панели, межспутниковые линии Ka, звёздный датчик):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_render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Группировка АВРОРА на орбите и конфигурация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−156 дБ в зените, задержка 3,3 мс) → приёмник (≥ 45 дБ·Гц, 238 каналов) → Kalman-фильтр с IF-комбинацией L1+L5 → PNT решение &lt; 0,5 м / &lt; 5 нс UTC(SU).*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3.5  Навигационная полезная нагрузка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Навигационная ПН строится на отечественной частотно-временно́й базе. **Оба бортовых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стандарта частоты — собственная разработка ООО «ШИВА НЕТВОРК»:** чип-цезиевый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(все КА) и космический рубидий Quantum-18 (якорные КА), что устраняет внешнюю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по ключевому узлу. Стандарты сводятся в ансамблевую шкалу (§28.6),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привязанную к UTC(SU) через наземный H-мазер Ч1-1008.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2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ayload_diagram_phase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Навигационная ПН и частотно-временно́е обеспечение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Цепочка формирования сигнала: ЧВО (опорная шкала/частота) → формирование навигационного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сообщения ANAV (эфемериды по POD §47; поправки часов a₀,a₁,a₂; межчастотная задержка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TGD/DCB §37.4; параметр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АВРОРА↔ГЛОНАСС; ионосферная модель и EOP; аутентификация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ГОСТ — TESLA-Стрибог §16) → формирование сигнала (коды Weil/Extended Memory →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модулятор BOC/TMBOC и BPSK(10), кодирование LDPC(1/2)+CRC-32, §6) → разделение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(L1/L5, УМ 5/3 Вт, изо-flux антенна) и </w:t>
      </w:r>
      <w:r>
        <w:rPr>
          <w:rFonts w:ascii="Times New Roman" w:hAnsi="Times New Roman"/>
          <w:b/>
          <w:i w:val="0"/>
          <w:color w:val="000000"/>
          <w:sz w:val="28"/>
        </w:rPr>
        <w:t>Сервис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L-полоса,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 30 Вт, фазированная решётка 8 дБи, §65). Межспутниковые линии Ka замыкают дисциплину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часов (TWSTT) и автономное определение орбит (дальнометрия, §48).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Интерфейс с ГЛОНАСС /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(ключевой для комбинированного режима и кооперации с РКС):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единый датум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(§64), общая шкала </w:t>
      </w:r>
      <w:r>
        <w:rPr>
          <w:rFonts w:ascii="Times New Roman" w:hAnsi="Times New Roman"/>
          <w:b/>
          <w:i w:val="0"/>
          <w:color w:val="000000"/>
          <w:sz w:val="28"/>
        </w:rPr>
        <w:t>UTC(SU)</w:t>
      </w:r>
      <w:r>
        <w:rPr>
          <w:rFonts w:ascii="Times New Roman" w:hAnsi="Times New Roman"/>
          <w:b w:val="0"/>
          <w:i w:val="0"/>
          <w:color w:val="000000"/>
          <w:sz w:val="28"/>
        </w:rPr>
        <w:t>, передаваемый параметр межсистемного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сдвига времени </w:t>
      </w:r>
      <w:r>
        <w:rPr>
          <w:rFonts w:ascii="Times New Roman" w:hAnsi="Times New Roman"/>
          <w:b/>
          <w:i w:val="0"/>
          <w:color w:val="000000"/>
          <w:sz w:val="28"/>
        </w:rPr>
        <w:t>GGTO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(АВРОРА↔ГЛОНАСС) в навигационном сообщении. Это обеспечивает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совместную обработку измерений АВРОРА и ГЛОНАСС в одном решении (§29) без потерь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трансформацию координат и времени — основа позиционирования системы как усиления ГЛОНАСС.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[1, 2],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152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160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результатам моделирования):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группировки на глобусе (не плоская проекция) — PDOP и N_vis по поверхности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Земли; видно усиление к ±75° (наклонение) и ослабление на экваторе: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op_globe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и N_vis на глобусе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моделирования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 [16, 53, 50]: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 [45].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≤21 с (7 с с A-GNSS, §27.3)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 [46]) и Galileo E1 OS (OS-SIS-ICD, 2021 [20]); спектральный анализ сигналов — по Betz [41]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Антенно-сигнальная сводка: 3D-диаграммы направленности изо-flux антенн Сервиса А (RNSS)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Сервиса Б (защищённый, §65), созвездие сигнала L1C (данные+пилот) и waterfall-спектрограмма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канала L1 с перемежающейся помехой (иллюстрация помехозащиты §15):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signal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Антенны А/Б, созвездие сигнала и спектрограмма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численного подтверждения свойств кодов реализован программный прототип генератора: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Согласование терминологии (§27.3).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Значения таблицы предполагают наличие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действующего </w:t>
      </w:r>
      <w:r>
        <w:rPr>
          <w:rFonts w:ascii="Times New Roman" w:hAnsi="Times New Roman"/>
          <w:b/>
          <w:i/>
          <w:color w:val="555555"/>
          <w:sz w:val="28"/>
        </w:rPr>
        <w:t>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(заводская загрузка либо кэш) — в классической градации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это «тёплый» сценарий по альманаху. </w:t>
      </w:r>
      <w:r>
        <w:rPr>
          <w:rFonts w:ascii="Times New Roman" w:hAnsi="Times New Roman"/>
          <w:b/>
          <w:i/>
          <w:color w:val="555555"/>
          <w:sz w:val="28"/>
        </w:rPr>
        <w:t>Истинно холодный старт без альманаха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требует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его приёма по медленному навигационному каналу (≈ 112 с) и слепого доплеровского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поиска, что даёт TTFF ≈ </w:t>
      </w:r>
      <w:r>
        <w:rPr>
          <w:rFonts w:ascii="Times New Roman" w:hAnsi="Times New Roman"/>
          <w:b/>
          <w:i/>
          <w:color w:val="555555"/>
          <w:sz w:val="28"/>
        </w:rPr>
        <w:t>149 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(§27.3). Ассистирование A-GNSS (§27.3) снимает оба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вклада и возвращает TTFF к ≈ </w:t>
      </w:r>
      <w:r>
        <w:rPr>
          <w:rFonts w:ascii="Times New Roman" w:hAnsi="Times New Roman"/>
          <w:b/>
          <w:i/>
          <w:color w:val="555555"/>
          <w:sz w:val="28"/>
        </w:rPr>
        <w:t>7 с</w:t>
      </w:r>
      <w:r>
        <w:rPr>
          <w:rFonts w:ascii="Times New Roman" w:hAnsi="Times New Roman"/>
          <w:b w:val="0"/>
          <w:i/>
          <w:color w:val="555555"/>
          <w:sz w:val="28"/>
        </w:rPr>
        <w:t>. Таким образом строка «Холодный» (21,3 с) — это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старт с известным альманахом, а 149 с — старт «с нуля».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элементной базы (см. OP-06, §67.4).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Оба бортовых стандарта частоты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ООО «ШИВА НЕТВОРК»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космический рубидий </w:t>
      </w:r>
      <w:r>
        <w:rPr>
          <w:rFonts w:ascii="Times New Roman" w:hAnsi="Times New Roman"/>
          <w:b/>
          <w:i w:val="0"/>
          <w:color w:val="000000"/>
          <w:sz w:val="28"/>
        </w:rPr>
        <w:t>Quantum-18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(якорные КА) и терминальный чип-масштабный цезиевый стандарт </w:t>
      </w:r>
      <w:r>
        <w:rPr>
          <w:rFonts w:ascii="Times New Roman" w:hAnsi="Times New Roman"/>
          <w:b/>
          <w:i w:val="0"/>
          <w:color w:val="000000"/>
          <w:sz w:val="28"/>
        </w:rPr>
        <w:t>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(все КА).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снимает внешнюю зависимость по элементной базе часов — ключевому суверенному узлу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системы. ТТХ заданы (Таблица 19); лётная квалификация обоих стандартов предусмотрена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демонстраторах Фаз 0–1 (§4.3, §66).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 [17] (МСЭ-R TF.686-3):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абонентский (бытовой 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Строка OCXO здесь — </w:t>
      </w:r>
      <w:r>
        <w:rPr>
          <w:rFonts w:ascii="Times New Roman" w:hAnsi="Times New Roman"/>
          <w:b/>
          <w:i/>
          <w:color w:val="555555"/>
          <w:sz w:val="28"/>
        </w:rPr>
        <w:t>бытовой абонентский класс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(1×10⁻¹⁰). Опорные узлы наземной сети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SHIWA TIME используют OCXO </w:t>
      </w:r>
      <w:r>
        <w:rPr>
          <w:rFonts w:ascii="Times New Roman" w:hAnsi="Times New Roman"/>
          <w:b/>
          <w:i/>
          <w:color w:val="555555"/>
          <w:sz w:val="28"/>
        </w:rPr>
        <w:t>Stratum 3E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(Rakon/SiTime, 5×10⁻¹², §8.1) с существенно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бо́льшим холдовером, либо миниатюрный CSAC для автономного удержания (§28.4).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(термостабилизация бортового CSAC —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Принятые </w:t>
      </w:r>
      <w:r>
        <w:rPr>
          <w:rFonts w:ascii="Times New Roman" w:hAnsi="Times New Roman"/>
          <w:b/>
          <w:i w:val="0"/>
          <w:color w:val="000000"/>
          <w:sz w:val="28"/>
        </w:rPr>
        <w:t>1,0 нс/хоп (0,30 м)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консервативная эксплуатационная оценка с запасом на стабильность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фазового центра антенны, многолучёвость и остаток калибровки; тепловой предел кодовой ISL-дальности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 ниже (≈ 0,03 м, §9.4), а переход на фазовую ISL даёт 0,03 нс/хоп (§8.6) — то есть бюджет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имеет встроенный резерв.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5×10⁻¹²/с,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Топология mesh-сети ISL (внутриплоскостные кольца + межплоскостные линии) и иерархия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gossip-консенсуса SHIWA TIME-Space (Shard → Region → Global, §28.6.4):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mesh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 ISL-mesh и иерархия gossip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 [5]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 (модель композиции независимых составляющих [50, 12]):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Методы орбитального определения и оценки его точности — по [51, 11, 16]. 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 (методология целостности — по [12, 14]):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это </w:t>
      </w:r>
      <w:r>
        <w:rPr>
          <w:rFonts w:ascii="Times New Roman" w:hAnsi="Times New Roman"/>
          <w:b/>
          <w:i w:val="0"/>
          <w:color w:val="000000"/>
          <w:sz w:val="28"/>
        </w:rPr>
        <w:t>2,6 % канальной скорости 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(§7.2) или </w:t>
      </w:r>
      <w:r>
        <w:rPr>
          <w:rFonts w:ascii="Times New Roman" w:hAnsi="Times New Roman"/>
          <w:b/>
          <w:i w:val="0"/>
          <w:color w:val="000000"/>
          <w:sz w:val="28"/>
        </w:rPr>
        <w:t>5,1 % информационной скорости 250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кодирования LDPC(1/2).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перигей ≈ 550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§22.2, 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≈ 550 км, естественный сход ≤ 25 лет, §22.2).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Рабочий диапазон бортового CSAC: −10°C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 физического пакета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160 Вт·ч с разрядом 80% (128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≈ 11%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 (с учётом двухсервисной нагрузки, §18).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 Оценка дебрисной среды и вероятности столкновений — по моделям ESA MASTER и методике Foster [4, 10, 15].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(1,05 м/с — статья общего бюджета ΔV, §19.2).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≈ 14 в среднем, 7–22 по широте; §5, §46)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PDOP p95 здесь приведён для зоны РФ (рабочий регион). Глобальный автономный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p95 в номинале — ≈ 5,0 (§5.3, §67.1); комбинированный с ГЛОНАСС над РФ — 1,67 (§8.6).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практически мгновенно.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ШИВА НЕТВОРК.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(ШИВА НЕТВОРК,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ШИВА НЕТВОРК):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ШИВА НЕТВОРК)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Количественная деградация ансамблевой шкалы при автономии рассмотрена в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ШИВА НЕТВОРК):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28.7  Уникальность SHIWA TIME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SHIWA TIME (ШИВА НЕТВОРК) — не ещё одна реализация PTP, а самостоятельный класс технологии синхронизации с рядом отличий от известных протоколов: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Свойство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NTP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PTP (IEEE 1588)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White Rabbit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клиент-сервер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грандмастер–slave (BMCA)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мастер–slave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P2P-ансамбль, без грандмастера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Спец. оборудование сети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BC/TC-коммутаторы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(SyncE + спец. узлы)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(аппаратные метки NIC)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Симметрия тракта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предполагается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калибруется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 требуется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(«счастливый пакет» / TWSTT)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Единая точка отказа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(сервер)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(грандмастер)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 (мастер)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нет (самовосстановление ансамбля)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эталон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(составная шкала, §28.6)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сегмент (ISL)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(SHIWA TIME-Space)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Эволюция метрологии ПО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(обновление алгоритмов по всему парку)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Ключевые дифференциаторы: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Ансамбль без грандмастера.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Согласованная шкала строится совместно множеством узлов; отказ узла или GNSS не разрушает синхронизацию (в отличие от единого грандмастера PTP/NTP).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Толерантность к асимметрии.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«Счастливый пакет» (минимум односторонней задержки) на земле и TWSTT + детерминированная коррекция на ISL снимают доминирующий источник погрешности, не требуя симметрии тракта — этого нет в классическом PTP.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эталон времени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Технология строит составной эталон (как вычисляется UTC, но в реальном времени на сети/группировке, §28.6) — самостоятельная функция, недоступная PTP/NTP/White Rabbit.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Программно-эволюционируемая метрология.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Алгоритмы оценки неопределённости, фильтрации асимметрии и взвешивания узлов улучшаются обновлением ПО по всему парку — физический атомный эталон так не модернизируешь. Это уникальное свойство программной природы SHIWA TIME.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Единый протокол для асимметричных сред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наземные IP-сети (Ground) и межспутниковые линии (Space) с общим ядром ансамбля (§28.5).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консенсусом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подмену шкалы нужно навязать многим узлам, а не одному; служебный обмен защищён криптографией ГОСТ (§16).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Суверенность и отечественная база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действующий стек ШИВА НЕТВОРК (демон ShiwaTime, аппаратура Open TimeCard класса IEEE P3335, стандарт SA5x), независимый от зарубежных систем; основа национальной инфраструктуры времени, устойчивой к подавлению GNSS.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это означает, что синхронизация — не пассивный приём времени, а </w:t>
      </w:r>
      <w:r>
        <w:rPr>
          <w:rFonts w:ascii="Times New Roman" w:hAnsi="Times New Roman"/>
          <w:b/>
          <w:i w:val="0"/>
          <w:color w:val="000000"/>
          <w:sz w:val="28"/>
        </w:rPr>
        <w:t>активная распределённая технология</w:t>
      </w:r>
      <w:r>
        <w:rPr>
          <w:rFonts w:ascii="Times New Roman" w:hAnsi="Times New Roman"/>
          <w:b w:val="0"/>
          <w:i w:val="0"/>
          <w:color w:val="000000"/>
          <w:sz w:val="28"/>
        </w:rPr>
        <w:t>, дающая суверенный эталон на группировке (§28.6) и масштабную защищённую раздачу на земле (§28.4) поверх одного протокольного ядра.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29.3  Математическая модель и программный комплекс моделирования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расчётные результаты настоящего ТП получены **разработанной в рамках НИР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математической моделью и программным комплексом моделирования** низкоорбитальной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группировки АВРОРА (около 90 расчётных модулей с единым интерфейсом запуска). Комплекс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охватывает орбитальную пропагацию (Walker, возмущение J2), геометрию и DOP, бюджеты линий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связи и UERE, часовую цепочку и ансамблевую шкалу времени, навигационный сигнал и кодовые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последовательности, орбитальное определение, целостность (RAIM/ARAIM), надёжность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жизненного цикла, а также средства визуализации.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воспроизводимы: каждый расчётный прогон сохраняется и сопровождается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автоматическими тестами и сквозным контролем согласованности числовых данных по всему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документу. Точностные характеристики прошли внешнюю сверку с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действующих LEO-PNT систем (CentiSpace, §45.3).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Комплекс является инструментом проектирования и обоснования: приведённые величины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выход верифицированных моделей, а не натурные измерения; перевод ключевых характеристик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статус «подтверждено» предусмотрен на демонстраторах Фаз 0–1 (§67.4).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 обоснования характеристик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доказанности, чтобы не смешивать расчёт и натуру):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Что относится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Стандартные формулы (внешне доказаны)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орбитальная механика, FSPL, Доплер, IF-комбинация, Клобухар, Саастамойнен, девиация Аллана, DOP, релятивистика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применены корректно, проверены численно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Выход моделей (воспроизводимо)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геометрия/PDOP/N_vis, бюджеты UERE и линий, часовая цепочка, сигнал/коды, надёжность, LCC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при заданных допущениях, не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натурно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PPP-сходимость, N_vis, порядок позиц. точности (CentiSpace, §45.3)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согласуется с опубликованными натурными данными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Допущения (к подтверждению)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5 см / фазовая ISL (К-2), полоса Сервиса Б (К-4)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Ф0–1 / выделение ресурса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Элементная база часов (CSAC, space-Rb) — </w:t>
      </w:r>
      <w:r>
        <w:rPr>
          <w:rFonts w:ascii="Times New Roman" w:hAnsi="Times New Roman"/>
          <w:b/>
          <w:i w:val="0"/>
          <w:color w:val="000000"/>
          <w:sz w:val="28"/>
        </w:rPr>
        <w:t>собственная разработка ШИВА НЕТВОРК</w:t>
      </w:r>
      <w:r>
        <w:rPr>
          <w:rFonts w:ascii="Times New Roman" w:hAnsi="Times New Roman"/>
          <w:b w:val="0"/>
          <w:i w:val="0"/>
          <w:color w:val="000000"/>
          <w:sz w:val="28"/>
        </w:rPr>
        <w:t>; ТТХ заданы,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лётная квалификация на Ф0–1 (закрытие К-1).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 [9, 21, 22].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бортовой стандарт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Бортовой стандарт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атомный CSAC</w:t>
      </w:r>
      <w:r>
        <w:rPr>
          <w:rFonts w:ascii="Times New Roman" w:hAnsi="Times New Roman"/>
          <w:b w:val="0"/>
          <w:i w:val="0"/>
          <w:color w:val="000000"/>
          <w:sz w:val="28"/>
        </w:rPr>
        <w:t>: его частота задаётся CPT-резонансом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цезии-133, поэтому радиационный уход внутреннего кварцевого генератора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атомным репером и не определяет долговременную стабильность.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Связывающим радиационным ограничением является TID </w:t>
      </w:r>
      <w:r>
        <w:rPr>
          <w:rFonts w:ascii="Times New Roman" w:hAnsi="Times New Roman"/>
          <w:b/>
          <w:i w:val="0"/>
          <w:color w:val="000000"/>
          <w:sz w:val="28"/>
        </w:rPr>
        <w:t>физического пакета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(предел 20 крад, удержан экраном 7 мм Al-экв., §32.2), а не дрейф кварца.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иллюстрации — частотный уход </w:t>
      </w:r>
      <w:r>
        <w:rPr>
          <w:rFonts w:ascii="Times New Roman" w:hAnsi="Times New Roman"/>
          <w:b/>
          <w:i w:val="0"/>
          <w:color w:val="000000"/>
          <w:sz w:val="28"/>
        </w:rPr>
        <w:t>недисциплинированного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кварца (SC-cut) под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радиацией, обосновывающий выбор атомного (самокорректирующегося) стандарта: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TID, α_rad ≈ 10⁻¹⁰ /кРад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экране 3 мм и TID = 125 кРад уход достигал бы ≈ 12,5 ppb за 7 лет — в атомном CSAC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этот уход снимается привязкой к CPT-реперу. Та же оценка применима к наземным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кварцевым узлам SHIWA TIME (§28.4), которые радиации не подвержены.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недисциплинированного кварца (обоснование атомного стандарта)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бортовых часов рассчитаны по общепринятой теории для спутниковой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навигации [52, 28]. 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Тропосферная коррекция выполняется по модели Саастамойнена с функциями отображения Нилла [30, 31].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подсистем оценивается по методикам прогнозирования надёжности [24, 23]. 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8,6%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8,6%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26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≈ 30 спутников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год (полная группировка ÷ MTBF ≈ 10 лет), начиная с 4-го года миссии. За жизненный цикл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≈ 64 КА за 7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/>
          <w:i w:val="0"/>
          <w:color w:val="000000"/>
          <w:sz w:val="28"/>
        </w:rPr>
        <w:t>≈ 302 КА за 15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фактически одно полное обновление группировки.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Стоимость восполнения учтена отдельной статьёй LCC (§51.3): 11,1 млрд ₽ за 7 лет и 51,9 млрд 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15 лет (доминирующая статья на 15-летнем горизонте). Рост ресурса КА (резервирование,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скрининг ЭКБ) — прямой рычаг снижения как числа замен, так и LCC.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 Прогноз согласуется с натурно-модельными результатами LEO-усиления PPP: снижение сходимости с ~30 мин до 1–3 мин показано в [26, 39, 40] и подтверждено по реальным наблюдениям CentiSpace [47, 48].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Значения GPS/Galileo приведены по интерфейсным документам и опубликованным оценкам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точности [7, 20, 50]; характеристики АВРОРА — прогноз по модели (§29.3), согласованный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натурно-модельными оценками систем LEO-усиления [38, 39, 40, 47–49].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[32]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 [7, 20].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точностных допущений (прогноз).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Бюджет построен по стандартной методике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композиции ошибок [50, 12]. Эфемеридная и часовая составляющие для LEO приняты на уровне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натурно-модельных оценок систем LEO-усиления (LeGNSS, CentiSpace) [39, 40, 47–49]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прогнозов точного определения орбит [11, 51]; ионосферный остаток двухчастотной комбинации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[50, 5]; тропосферный — по моделям Саастамойнена/Нилла [30, 31]; шум и многолучёвость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результатам моделирования сигнала (§6, §17) и [50]. Итог 0,7 м — </w:t>
      </w: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подлежащая лётному подтверждению на демонстраторах Фаз 0–1 (К-2, §67.5).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Потоковое (Sankey) представление дисперсии UERE и временно́й цепочки синхронизации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наглядно видно доминирование эфемерид/тропосферы в UERE и ISL-шума во временно́м бюджете: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2425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Sankey бюджета UERE и временно́й цепочки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~1,3–2,0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(LCC 7–15 лет, §51)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Характеристики систем-аналогов приведены по первоисточникам: Xona PULSAR [33], Satelles/Iridium STL [34], ESA LEO-PNT [35], BeiDou-3 LEO с ISL [36], Starlink PNT (заявка FCC) [37].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Мировой ландшафт LEO-PNT насчитывает более десяти выделенных систем (по обзору Xona [58]):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США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Iridium STL (66, действ.), Xona Pulsar (258), TrustPoint (288, C-диапазон);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Европа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ESA LEO-PNT (263, демо 2025–2028); </w:t>
      </w:r>
      <w:r>
        <w:rPr>
          <w:rFonts w:ascii="Times New Roman" w:hAnsi="Times New Roman"/>
          <w:b/>
          <w:i w:val="0"/>
          <w:color w:val="000000"/>
          <w:sz w:val="28"/>
        </w:rPr>
        <w:t>Япония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JAXA (240/480, C), ArkEdge (VHF);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Турция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Fergani Space (120); </w:t>
      </w:r>
      <w:r>
        <w:rPr>
          <w:rFonts w:ascii="Times New Roman" w:hAnsi="Times New Roman"/>
          <w:b/>
          <w:i w:val="0"/>
          <w:color w:val="000000"/>
          <w:sz w:val="28"/>
        </w:rPr>
        <w:t>Китай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CentiSpace (190), Geespace (240), SatNet/Гован (504,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13 000); </w:t>
      </w:r>
      <w:r>
        <w:rPr>
          <w:rFonts w:ascii="Times New Roman" w:hAnsi="Times New Roman"/>
          <w:b/>
          <w:i w:val="0"/>
          <w:color w:val="000000"/>
          <w:sz w:val="28"/>
        </w:rPr>
        <w:t>ОАЭ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GNSSaS; </w:t>
      </w:r>
      <w:r>
        <w:rPr>
          <w:rFonts w:ascii="Times New Roman" w:hAnsi="Times New Roman"/>
          <w:b/>
          <w:i w:val="0"/>
          <w:color w:val="000000"/>
          <w:sz w:val="28"/>
        </w:rPr>
        <w:t>Индия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VyomIC (125–150). Большинство работают в L-диапазоне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центрами вблизи GPS L1/L5; ключевая задача — совместимость с ГНСС при повышенной мощности.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Xona решает её </w:t>
      </w:r>
      <w:r>
        <w:rPr>
          <w:rFonts w:ascii="Times New Roman" w:hAnsi="Times New Roman"/>
          <w:b/>
          <w:i w:val="0"/>
          <w:color w:val="000000"/>
          <w:sz w:val="28"/>
        </w:rPr>
        <w:t>смещением центральной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(X1 1593,32 МГц, X5 1190,52 МГц)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спектрально-эффективной модуляцией EFQPSK</w:t>
      </w:r>
      <w:r>
        <w:rPr>
          <w:rFonts w:ascii="Times New Roman" w:hAnsi="Times New Roman"/>
          <w:b w:val="0"/>
          <w:i w:val="0"/>
          <w:color w:val="000000"/>
          <w:sz w:val="28"/>
        </w:rPr>
        <w:t>, обеспечивая разделение спектров при превышении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мощности до +20 дБ без вредных помех ГНСС [58] — подтверждает реализуемость подхода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(Сервис А под маской ПФП МСЭ; Сервис Б — в выделенной полосе, §65).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Конкурентоспособный бюджет (LCC ≈ </w:t>
      </w:r>
      <w:r>
        <w:rPr>
          <w:rFonts w:ascii="Courier New" w:hAnsi="Courier New"/>
          <w:b w:val="0"/>
          <w:i w:val="0"/>
          <w:color w:val="000000"/>
          <w:sz w:val="28"/>
        </w:rPr>
        <w:t>1,26 млрд за 7 лет /</w:t>
      </w:r>
      <w:r>
        <w:rPr>
          <w:rFonts w:ascii="Times New Roman" w:hAnsi="Times New Roman"/>
          <w:b w:val="0"/>
          <w:i w:val="0"/>
          <w:color w:val="000000"/>
          <w:sz w:val="28"/>
        </w:rPr>
        <w:t>2,0 млрд за 15 лет с восполнением, vs $10B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 лепестковой диаграмме различаются две оси точности: «</w:t>
      </w:r>
      <w:r>
        <w:rPr>
          <w:rFonts w:ascii="Times New Roman" w:hAnsi="Times New Roman"/>
          <w:b/>
          <w:i/>
          <w:color w:val="555555"/>
          <w:sz w:val="28"/>
        </w:rPr>
        <w:t>Точность дальности (1/UERE)</w:t>
      </w:r>
      <w:r>
        <w:rPr>
          <w:rFonts w:ascii="Times New Roman" w:hAnsi="Times New Roman"/>
          <w:b w:val="0"/>
          <w:i/>
          <w:color w:val="555555"/>
          <w:sz w:val="28"/>
        </w:rPr>
        <w:t>» —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одной псевдодальности, где АВРОРА (0,7 м) уступает GPS/Galileo и сопоставима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ГЛОНАСС; и «</w:t>
      </w:r>
      <w:r>
        <w:rPr>
          <w:rFonts w:ascii="Times New Roman" w:hAnsi="Times New Roman"/>
          <w:b/>
          <w:i/>
          <w:color w:val="555555"/>
          <w:sz w:val="28"/>
        </w:rPr>
        <w:t>Точность позиц. (CEP, комбин.)</w:t>
      </w:r>
      <w:r>
        <w:rPr>
          <w:rFonts w:ascii="Times New Roman" w:hAnsi="Times New Roman"/>
          <w:b w:val="0"/>
          <w:i/>
          <w:color w:val="555555"/>
          <w:sz w:val="28"/>
        </w:rPr>
        <w:t>» — итоговая горизонтальная точность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пользователя в рабочем (комбинированном с ГЛОНАСС) режиме, где АВРОРА (CEP ≈ 1 м, §8.6)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находится в числе лучших за счёт геометрии. Преимущество системы — не точность одной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дальности, а геометрия комбинированного режима, скорость PPP-сходимости, Арктика и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помехозащита (§37.2).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41.4  Китайские LEO-PNT инициативы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Помимо штатной MEO-системы BeiDou-3, в КНР параллельно развивается несколько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низкоорбитальных группировок, способных нести функцию навигации,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синхронизации. Их следует учитывать как технологический ориентир и потенциальную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конкурентную среду. Сведения ниже приведены </w:t>
      </w:r>
      <w:r>
        <w:rPr>
          <w:rFonts w:ascii="Times New Roman" w:hAnsi="Times New Roman"/>
          <w:b/>
          <w:i w:val="0"/>
          <w:color w:val="000000"/>
          <w:sz w:val="28"/>
        </w:rPr>
        <w:t>по открытым публикациям, статус на 2026 год</w:t>
      </w:r>
      <w:r>
        <w:rPr>
          <w:rFonts w:ascii="Times New Roman" w:hAnsi="Times New Roman"/>
          <w:b w:val="0"/>
          <w:i w:val="0"/>
          <w:color w:val="000000"/>
          <w:sz w:val="28"/>
        </w:rPr>
        <w:t>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точные тактико-технические характеристики у операторов закрыты, поэтому значения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носят ориентировочный характер.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Оператор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 на орбите / план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Назначение, PNT-роль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CentiSpace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(未来导航)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Beijing Future Navigation + ЦЭТК-29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975 км, 55°/30°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эксперим. КА (с 2018) / ≈ 160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Целевое навигационное усиление — прямой аналог концепции АВРОРА.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Цель: точность &lt; 10 см, сходимость PPP ≈ 1 мин. Применяется методика CCST-подавления самопомех (одновременный приём сигналов GNSS и передача усиливающего сигнала в той же полосе).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Geespace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(GEESATCOM)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Geely / Geespace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км, 50°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(Фаза I) / 72 → ≈ 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Связь и IoT с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дополнительной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службой высокоточного позиционирования (сантиметровый уровень через наземное усиление) для автономного транспорта.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Qianfan / 千帆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(G60)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SSST / Spacesail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1160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180 (05.2026) / ≈ 14 000–15 000 (2030)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Широкополосный интернет (аналог Starlink); навигация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функция, не основная.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Guowang / 国网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China SatNet (гос.)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500 / 600–1145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неск. десятков / по заявке МСЭ 12 992; цель 400 к 2027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Государственная широкополосная мегагруппировка; PNT —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вторичная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функция.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для АВРОРА.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Прямым функциональным аналогом концепции АВРОРА (выделенная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LEO-система навигационного усиления) среди китайских проектов является только </w:t>
      </w: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 целевая точность (сантиметры в режиме PPP), быстрая сходимость и принцип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работы в навигационных полосах. Geespace реализует позиционирование как добавочную службу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сети связи; Qianfan и Guowang — широкополосные мегагруппировки, у которых PNT остаётся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потенциальной, технически не подтверждённой функцией. Это подтверждает обоснованность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выбранной для АВРОРА архитектуры специализированной навигационной LEO-группировки, 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попутной нагрузки на сети связи. Ключевые суверенные отличия АВРОРА сохраняются: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75° (Арктика), датум ПЗ-90.11, аутентификация на ГОСТ-криптографии,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российская элементная и наземная база.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hina_leo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Китайские LEO-PNT инициативы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Реализован программный софт-приёмник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§7.3 техпроекта (TTFF):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 (характеристики систем RNSS — по Рекомендации МСЭ-R M.1787 [13]):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 [42, 43]: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45.3  Внешняя валидация по натурным LEO-PNT данным (CENTISPACE)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Чтобы перевести точностные характеристики из категории «расчётная оценка проекта»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категорию «согласуется с независимыми натурными измерениями», предсказания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сопоставлены с **опубликованными (рецензируемыми) результатами действующих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LEO-PNT систем**. Главный референс — китайская система навигационного усиления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CENTISPACE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(Beijing Future Navigation; эксперим. КА на ~975 км с 2018 г.) — наиболее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близкий аналог по орбите и назначению; дополнительно — натурно-модельные исследования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LEO-augmented PPP (LeGNSS) и обзор LEO-PNT.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 методе (важно).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Это </w:t>
      </w:r>
      <w:r>
        <w:rPr>
          <w:rFonts w:ascii="Times New Roman" w:hAnsi="Times New Roman"/>
          <w:b/>
          <w:i w:val="0"/>
          <w:color w:val="000000"/>
          <w:sz w:val="28"/>
        </w:rPr>
        <w:t>не ассимиляция «сырых» наблюдений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(первичных измерений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в открытом доступе нет), а сравнение предсказаний моделей АВРОРА (§36, §37,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§46, сквозной расчётный конвейер) с </w:t>
      </w:r>
      <w:r>
        <w:rPr>
          <w:rFonts w:ascii="Times New Roman" w:hAnsi="Times New Roman"/>
          <w:b/>
          <w:i w:val="0"/>
          <w:color w:val="000000"/>
          <w:sz w:val="28"/>
        </w:rPr>
        <w:t>опубликованными натурными метриками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сопоставимых систем. Совпадение в пределах разброса литературы трактуется как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«подтверждено независимыми данными», систематический оптимизм — помечается явно.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(модель)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Натурно (опубл.)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Вердикт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орбиты,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(§4.2)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~975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Подтверждено (сопоставимо)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сходимости PPP,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(§36)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~1; LeGNSS 1–3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видимых КА (LEO, ~300 КА)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7–22, ср. 14 (§46)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обзор LEO-PNT 8–20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Подтверждено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Гор. точность CEP95 после сходимости,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21–36 (e2e, PPP)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цель &lt; 10; реал. см–дм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 (консервативно)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Радиальная ошибка POD,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5–19 (§47)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CENTISPACE реал. дм-уровень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Оптимистично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(К-2)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одной псевдодальн. (dual),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 (§37.2)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LEO-усиления дм–м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Правдоподобно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Итог: подтверждено 3 / правдоподобно 2 / оптимистично 1.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Ключевое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системы — </w:t>
      </w:r>
      <w:r>
        <w:rPr>
          <w:rFonts w:ascii="Times New Roman" w:hAnsi="Times New Roman"/>
          <w:b/>
          <w:i w:val="0"/>
          <w:color w:val="000000"/>
          <w:sz w:val="28"/>
        </w:rPr>
        <w:t>ускоренная сходимость PPP (1–3 мин)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подтверждается натурными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CENTISPACE и LeGNSS (LEO-усиление снижает сходимость с ~30 мин у GNSS до ~1–3 мин);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геометрия (N_vis) и порядок позиционной точности также согласуются, причём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консервативнее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натурной цели CENTISPACE (&lt; 10 см) — модель не завышает. Единственная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систематически оптимистичная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величина — радиальная POD (5 см против натурного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дм-уровня у LEO): это прямо соответствует замечанию К-2 аудита и требует подтверждения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фазовой ISL-дальнометрией на демонстраторах Фаз 0–1.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548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o_pnt_validation_phase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Кросс-валидация АВРОРА с натурными LEO-PNT данными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 натурных данных: CENTISPACE — Remote Sensing/PMC10301026 (2023), GPS Solutions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10.1007/s10291-023-01589-0 (2023), Satellite Navigation s43020-024-00133-w (2024);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LeGNSS — Ge et al., Remote Sensing 10(7):984 (2018) [ист. 39]; обзор — Prol et al.,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IEEE Access 10 (2022) [ист. 38].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 [51, 11].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 Достижимая точность POD для LEO принята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опубликованным результатам определения орбит низкоорбитальных КА средствами GNSS [11, 51];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прогнозная</w:t>
      </w:r>
      <w:r>
        <w:rPr>
          <w:rFonts w:ascii="Times New Roman" w:hAnsi="Times New Roman"/>
          <w:b w:val="0"/>
          <w:i w:val="0"/>
          <w:color w:val="000000"/>
          <w:sz w:val="28"/>
        </w:rPr>
        <w:t>, подлежит лётному подтверждению (К-2, §67.5).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(49.159)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 Критерии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целостности и пороги — по RTCA DO-229 и ICAO Annex 10 [14].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underbraceN_repl· C_repl_восполнение отказов (§51.3)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Демонстраторы Ф0–1 (12 × 16U CubeSat + rideshare)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9,1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 группировки (отказы КА, 7 лет: ≈ 64 КА × 172)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11 065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113 436 млн ₽ ≈ 113,4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1 260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(восполнение ≈ 302 КА = 51,9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183 024 млн ₽ ≈ 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2 034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изготовления 1 КА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(серия, с обучением: ≈100 платформа+ПН+ISL + 5 часы)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105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Удельная LCC на 1 КА (вся программа ÷ 300, 7 лет,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 восполнением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16 205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Важно различать </w:t>
      </w:r>
      <w:r>
        <w:rPr>
          <w:rFonts w:ascii="Times New Roman" w:hAnsi="Times New Roman"/>
          <w:b/>
          <w:i w:val="0"/>
          <w:color w:val="000000"/>
          <w:sz w:val="28"/>
        </w:rPr>
        <w:t>цену изготовления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(серийная, с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≈ 105 млн ₽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что нормально для 140-кг нав-смолсата с атомными часами и ISL) и </w:t>
      </w:r>
      <w:r>
        <w:rPr>
          <w:rFonts w:ascii="Times New Roman" w:hAnsi="Times New Roman"/>
          <w:b/>
          <w:i w:val="0"/>
          <w:color w:val="000000"/>
          <w:sz w:val="28"/>
        </w:rPr>
        <w:t>удельную LCC на 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(378 млн ₽) — последняя включает разработку, запуск, наземный сегмент, </w:t>
      </w:r>
      <w:r>
        <w:rPr>
          <w:rFonts w:ascii="Times New Roman" w:hAnsi="Times New Roman"/>
          <w:b/>
          <w:i w:val="0"/>
          <w:color w:val="000000"/>
          <w:sz w:val="28"/>
        </w:rPr>
        <w:t>восполнение отказов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7 лет эксплуатации, размазанные на 300 аппаратов, и не является ценой постройки одного КА. Для сравнения: программы GPS/Galileo стоят </w:t>
      </w:r>
      <w:r>
        <w:rPr>
          <w:rFonts w:ascii="Courier New" w:hAnsi="Courier New"/>
          <w:b w:val="0"/>
          <w:i w:val="0"/>
          <w:color w:val="000000"/>
          <w:sz w:val="28"/>
        </w:rPr>
        <w:t>10+ млрд — АВРОРА (≈ 113 млрд ₽ ≈</w:t>
      </w:r>
      <w:r>
        <w:rPr>
          <w:rFonts w:ascii="Times New Roman" w:hAnsi="Times New Roman"/>
          <w:b w:val="0"/>
          <w:i w:val="0"/>
          <w:color w:val="000000"/>
          <w:sz w:val="28"/>
        </w:rPr>
        <w:t>1,26 млрд за 7 лет) дешевле на порядок за счёт малых КА, отечественных часов и серийности.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51.3  Восполнение группировки (согласование с надёжностью, §35)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Низкоорбитальная группировка из малых КА по своей природе </w:t>
      </w:r>
      <w:r>
        <w:rPr>
          <w:rFonts w:ascii="Times New Roman" w:hAnsi="Times New Roman"/>
          <w:b/>
          <w:i w:val="0"/>
          <w:color w:val="000000"/>
          <w:sz w:val="28"/>
        </w:rPr>
        <w:t>расходуемая</w:t>
      </w:r>
      <w:r>
        <w:rPr>
          <w:rFonts w:ascii="Times New Roman" w:hAnsi="Times New Roman"/>
          <w:b w:val="0"/>
          <w:i w:val="0"/>
          <w:color w:val="000000"/>
          <w:sz w:val="28"/>
        </w:rPr>
        <w:t>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эффективном MTBF КА ≈ 10,1 года (горячее резервирование часов и вычислителя,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R(7 лет) ≈ 50 %, §35.3) полная группировка из 300 КА теряет </w:t>
      </w:r>
      <w:r>
        <w:rPr>
          <w:rFonts w:ascii="Times New Roman" w:hAnsi="Times New Roman"/>
          <w:b/>
          <w:i w:val="0"/>
          <w:color w:val="000000"/>
          <w:sz w:val="28"/>
        </w:rPr>
        <w:t>≈ 30 КА в год</w:t>
      </w:r>
      <w:r>
        <w:rPr>
          <w:rFonts w:ascii="Times New Roman" w:hAnsi="Times New Roman"/>
          <w:b w:val="0"/>
          <w:i w:val="0"/>
          <w:color w:val="000000"/>
          <w:sz w:val="28"/>
        </w:rPr>
        <w:t>, что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 непрерывного восполнения — как у Starlink/OneWeb. Ожидаемое число замещающих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оценивается как наработка группировки (КА·лет, по графику ввода §30.2), делённая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N_repl(Y) = (∫_0^Y N_акт(t) dt/MTBF_КА), C_repl = N_repl·(C_floor + C_пуск/КА)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Замещающие КА строятся на «полке» кривой обучения (серийный минимум ≈ 82 млн ₽ + часы)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 выводятся по средней пусковой экономике серии (≈ 90 млн ₽/КА) → ≈ </w:t>
      </w:r>
      <w:r>
        <w:rPr>
          <w:rFonts w:ascii="Times New Roman" w:hAnsi="Times New Roman"/>
          <w:b/>
          <w:i w:val="0"/>
          <w:color w:val="000000"/>
          <w:sz w:val="28"/>
        </w:rPr>
        <w:t>172 млн ₽/КА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Окно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Наработка, КА·лет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Замещающих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Восполнение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в LCC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(развёртывание)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11,1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лет (с эксплуатацией FOC)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3 051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51,9 млрд 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(закрытие замечания К-3 аудита).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Восполнение — **доминирующая статья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горизонте 15 лет**: 51,9 млрд ₽ превышают стоимость первичной серии 300 КА (≈ 30 млрд ₽),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поскольку за 15 лет группировка фактически обновляется один раз. OPEX наземного сегмента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(40 $M/год) это </w:t>
      </w:r>
      <w:r>
        <w:rPr>
          <w:rFonts w:ascii="Times New Roman" w:hAnsi="Times New Roman"/>
          <w:b/>
          <w:i w:val="0"/>
          <w:color w:val="000000"/>
          <w:sz w:val="28"/>
        </w:rPr>
        <w:t>не покрывает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восполнение есть производство и выведение, поэтому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вынесено отдельной статьёй. Чувствительность к MTBF высока (см. торнадо §51.2): при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MTBF 7 → 20 лет восполнение на 15 лет меняется 74,8 → 26,2 млрд ₽, а LCC-15 — 206 → 157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Поэтому </w:t>
      </w:r>
      <w:r>
        <w:rPr>
          <w:rFonts w:ascii="Times New Roman" w:hAnsi="Times New Roman"/>
          <w:b/>
          <w:i w:val="0"/>
          <w:color w:val="000000"/>
          <w:sz w:val="28"/>
        </w:rPr>
        <w:t>рост ресурса КА (резервирование, скрининг, ИЭКБ) — прямой рычаг снижения LCC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 не только надёжности. Это устраняет прежнее расхождение между §35.3 (≈ 30 отказов/год)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§51, где восполнение ранее не учитывалось.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Удешевление демонстрационной фазы (Ф0–1).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Демонстраторы Фаз 0–1 (12 КА) строятся не как полноразмерные операционные аппараты, а на </w:t>
      </w:r>
      <w:r>
        <w:rPr>
          <w:rFonts w:ascii="Times New Roman" w:hAnsi="Times New Roman"/>
          <w:b/>
          <w:i w:val="0"/>
          <w:color w:val="000000"/>
          <w:sz w:val="28"/>
        </w:rPr>
        <w:t>дешёвой 16U CubeSat-платформе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(СПУТНИКС/Геоскан, §66) с урезанной полезной нагрузкой (один сигнальный канал, один CSAC) и </w:t>
      </w:r>
      <w:r>
        <w:rPr>
          <w:rFonts w:ascii="Times New Roman" w:hAnsi="Times New Roman"/>
          <w:b/>
          <w:i w:val="0"/>
          <w:color w:val="000000"/>
          <w:sz w:val="28"/>
        </w:rPr>
        <w:t>попутным (rideshare) запуском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≈ 820 млн ₽ против ≈ 2 470 млн ₽, если бы те же 12 аппаратов делались полноразмерными 140-кг КА на крутом участке кривой обучения — </w:t>
      </w:r>
      <w:r>
        <w:rPr>
          <w:rFonts w:ascii="Times New Roman" w:hAnsi="Times New Roman"/>
          <w:b/>
          <w:i w:val="0"/>
          <w:color w:val="000000"/>
          <w:sz w:val="28"/>
        </w:rPr>
        <w:t>в ≈ 3 раза дешевле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(экономия ≈ 1,65 млрд ₽). Это и удешевляет старт, и создаёт </w:t>
      </w:r>
      <w:r>
        <w:rPr>
          <w:rFonts w:ascii="Times New Roman" w:hAnsi="Times New Roman"/>
          <w:b/>
          <w:i w:val="0"/>
          <w:color w:val="000000"/>
          <w:sz w:val="28"/>
        </w:rPr>
        <w:t>дешёвый рубеж лётной проверки концепции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(сигнал, ISL, дисциплина часов) до выделения средств на серию 300 КА (≈ 30 млрд ₽) — снижение программного риска.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51.4  Сценарии охвата: глобальный (300) и региональный РФ+СНГ (180)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Группировка масштабируема. Базовый сценарий — </w:t>
      </w:r>
      <w:r>
        <w:rPr>
          <w:rFonts w:ascii="Times New Roman" w:hAnsi="Times New Roman"/>
          <w:b/>
          <w:i w:val="0"/>
          <w:color w:val="000000"/>
          <w:sz w:val="28"/>
        </w:rPr>
        <w:t>глобальный (300 КА)</w:t>
      </w:r>
      <w:r>
        <w:rPr>
          <w:rFonts w:ascii="Times New Roman" w:hAnsi="Times New Roman"/>
          <w:b w:val="0"/>
          <w:i w:val="0"/>
          <w:color w:val="000000"/>
          <w:sz w:val="28"/>
        </w:rPr>
        <w:t>, Фаза 4. Для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суверенных задач РФ возможен </w:t>
      </w:r>
      <w:r>
        <w:rPr>
          <w:rFonts w:ascii="Times New Roman" w:hAnsi="Times New Roman"/>
          <w:b/>
          <w:i w:val="0"/>
          <w:color w:val="000000"/>
          <w:sz w:val="28"/>
        </w:rPr>
        <w:t>региональный сценарий РФ+СНГ (180 КА)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завершение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Фазе 3, что даёт </w:t>
      </w:r>
      <w:r>
        <w:rPr>
          <w:rFonts w:ascii="Times New Roman" w:hAnsi="Times New Roman"/>
          <w:b/>
          <w:i w:val="0"/>
          <w:color w:val="000000"/>
          <w:sz w:val="28"/>
        </w:rPr>
        <w:t>100% покрытие РФ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(§5.3) при существенно меньшей стоимости. До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он достраивается Фазой 4 без переделки (см. §29.3).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Глобальный (300)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Региональный РФ+СНГ (180)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глобально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 РФ+СНГ (не глобально)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КА (с обучением)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29,9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20,1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Пуски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16,2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113,4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$1,26 млрд)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92,9 млрд ₽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(≈ $1,03 млрд)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183,0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147,6 млрд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Удельная LCC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516 млн 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vs глобального (7 / 15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−20 / −35 млрд 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Региональный сценарий </w:t>
      </w:r>
      <w:r>
        <w:rPr>
          <w:rFonts w:ascii="Times New Roman" w:hAnsi="Times New Roman"/>
          <w:b/>
          <w:i w:val="0"/>
          <w:color w:val="000000"/>
          <w:sz w:val="28"/>
        </w:rPr>
        <w:t>дешевле в сумме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(−20 млрд за 7 лет), но **дороже в пересчёте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 КА** (516 против 378 млн ₽): постоянные затраты (NRE, наземный сегмент, OPEX) распределяются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меньшее число аппаратов. Выбор сценария — управленческое решение «суверенное покрытие РФ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дешевле / глобальный сервис дороже»; оба варианта используют единый борт, наземку и часы.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Примечание: 100% покрытие 4+ КА подтверждено моделированием по сетке РФ (§5.3); СНГ лежит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той же широтной полосе и долготном створе (§5.2) и покрывается по географической смежности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отдельная сетка СНГ в модели не прогонялась.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имитированные SLR-residuals. Реализовано программно.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Способ подтверждения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покрытия и DOP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временно́й цепочки синхронизации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модуляций, кодов и сообщения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линии и точности дальномера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ошибок и Монте-Карло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защитных уровней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запаса по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протокола и стойкости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примитивы Стрибог / 34.10 / Кузнечик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моделирование ассистированного старта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резервов дальностного бюджета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трансформации координат и бюджет EOP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калибровка и оценка остатка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/ Б)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 ПФП обоих сервисов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проектные бюджеты платформы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расчёт ΔV и вероятности столкновений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оценка TID/SEU по толщине экрана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протокол SHIWA TIME / PTP²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композитной шкалы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 [57, 56, 32],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соглашениям IERS [19]):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 интерфейсы синергии (по уровням):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Интерфейс АВРОРА ↔ «Гонец» / «Сфера»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Эффект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/ частота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межгрупповой ISL-перенос суверенной шкалы UTC(SU) от ансамбля АВРОРА (§28.6) на КА «Гонца» (TWSTT, §8.3)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«Гонец» получает суверенное время/частоту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независимо от GNSS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; единая шкала «Сферы», устойчивая к подавлению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двусторонний канал «Гонца» (M2M/IoT) как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backhaul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для SSR/PPP-RTK-поправок (§44), A-GNSS (§27.3) и аутентификации времени (§16)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замыкает односторонность нав-сигнала АВРОРА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 строительства нового канала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шина «Гонец-М1» / перспективного аппарата (~280 кг) как носитель нав-ПН (hosted/совмещённая, §19)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малоспутниковая платформа → снижение риска борта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общий наземный комплекс, станции, каналы доведения (§54)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экономия CAPEX/OPEX, единая эксплуатация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Выведение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кластерный/попутный вывод в рамках «Сферы» (§53)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снижение пусковых затрат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Стратегически АВРОРА и «Гонец» образуют под «Сферой» **взаимодополняющую пару «навигация + связь»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единой LEO-инфраструктуре**: «Гонец» вносит проверенную платформу, наземный комплекс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двусторонний канал данных; АВРОРА — суверенное PNT и время для всей многоорбитальной программы.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Перенос суверенной шкалы по межгрупповому ISL (расширение SHIWA TIME-Space, §28.6) — ключевой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дифференциатор: время «Сферы» становится независимым от зарубежных ГНСС.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Ассистированный старт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реализован (§27.3);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Оба стандарта — собственная разработка ООО «ШИВА НЕТВОРК»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space-Rb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Quantum-18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(якоря) и чип-цезий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CSAC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(все КА). Внешней зависимости по часам нет. ТТХ зафиксированы (§8, Таблица 19); лётная квалификация — на демонстраторах Фаз 0–1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67.5  План закрытия замечаний независимой приёмки (К-1…К-5)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Замечание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часов (CSAC)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собственная разработка ШИВА НЕТВОРК (как Quantum-18); инженерный образец → лётная квалификация на демонстраторах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/ фазовая ISL-дальнометрия — заявочная точность (5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(1) лётная отработка фазовой ISL на Ф0–1: измерить реальную точность дальности и SISRE; (2) POD-фильтр с полной силовой моделью (J2–J6, drag, SRP) + ISL + наземка на Ф2; (3) подтвердить дм→см. До подтверждения в бюджет UERE заложена транслируемая эфемерида 0,45 м (§37.3) — система не зависит от оптимистичной оценки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Экономика восполнения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: учтено отдельной статьёй LCC (§51.3)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Спектр Сервиса Б не выделен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(1) API в МСЭ (через РКН) и заявка в ГКРЧ на выделенную L-полосу — 2026; (2) координация МСЭ + экспериментальное РЭС на демо — 2027–2029; ведущий — Роскосмос/РКН. 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Резерв: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при невыделении полосы Сервис Б работает в ведомственном/ограниченном режиме, а Сервис А (RNSS, §43) от этого не зависит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2026–2029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К-5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Конфигурационная дисциплина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Снято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: линтер сквозной связности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check_tp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, подключён Stop-хуком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47) </w:t>
      </w:r>
      <w:r>
        <w:rPr>
          <w:rFonts w:ascii="Times New Roman" w:hAnsi="Times New Roman"/>
          <w:b w:val="0"/>
          <w:i w:val="0"/>
          <w:color w:val="000000"/>
          <w:sz w:val="28"/>
        </w:rPr>
        <w:t>Performance Evaluation of CENTISPACE Navigation Augmentation Experiment Satellites. *Remote Sensing* (2023). PMC10301026.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48) </w:t>
      </w:r>
      <w:r>
        <w:rPr>
          <w:rFonts w:ascii="Times New Roman" w:hAnsi="Times New Roman"/>
          <w:b w:val="0"/>
          <w:i w:val="0"/>
          <w:color w:val="000000"/>
          <w:sz w:val="28"/>
        </w:rPr>
        <w:t>LEO augmented precise point positioning using real observations from two CENTISPACE™ experimental satellites. *GPS Solutions*, 27 (2023). DOI 10.1007/s10291-023-01589-0.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49) </w:t>
      </w:r>
      <w:r>
        <w:rPr>
          <w:rFonts w:ascii="Times New Roman" w:hAnsi="Times New Roman"/>
          <w:b w:val="0"/>
          <w:i w:val="0"/>
          <w:color w:val="000000"/>
          <w:sz w:val="28"/>
        </w:rPr>
        <w:t>Demand and key technology for a LEO constellation as augmentation of satellite navigation systems. *Satellite Navigation*, 5 (2024). DOI 10.1186/s43020-024-00133-w.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50) </w:t>
      </w:r>
      <w:r>
        <w:rPr>
          <w:rFonts w:ascii="Times New Roman" w:hAnsi="Times New Roman"/>
          <w:b w:val="0"/>
          <w:i w:val="0"/>
          <w:color w:val="000000"/>
          <w:sz w:val="28"/>
        </w:rPr>
        <w:t>Misra P., Enge P. (2011). *Global Positioning System: Signals, Measurements, and Performance*. 2nd ed. Ganga-Jamuna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51)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 O., Gill E. (2000). *Satellite Orbits: Models, Methods and Applications*. Springer-Verlag.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52) </w:t>
      </w:r>
      <w:r>
        <w:rPr>
          <w:rFonts w:ascii="Times New Roman" w:hAnsi="Times New Roman"/>
          <w:b w:val="0"/>
          <w:i w:val="0"/>
          <w:color w:val="000000"/>
          <w:sz w:val="28"/>
        </w:rPr>
        <w:t>Ashby N. (2003). Relativity in the Global Positioning System. *Living Reviews in Relativity*, 6(1), 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53) </w:t>
      </w:r>
      <w:r>
        <w:rPr>
          <w:rFonts w:ascii="Times New Roman" w:hAnsi="Times New Roman"/>
          <w:b w:val="0"/>
          <w:i w:val="0"/>
          <w:color w:val="000000"/>
          <w:sz w:val="28"/>
        </w:rPr>
        <w:t>Яценков В.С. (2005). *Основы спутниковой навигации. Системы GPS NAVSTAR и ГЛОНАСС*. М.: Горячая линия–Телеком.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54) </w:t>
      </w:r>
      <w:r>
        <w:rPr>
          <w:rFonts w:ascii="Times New Roman" w:hAnsi="Times New Roman"/>
          <w:b w:val="0"/>
          <w:i w:val="0"/>
          <w:color w:val="000000"/>
          <w:sz w:val="28"/>
        </w:rPr>
        <w:t>Шебшаевич В.С., Дмитриев П.П., Иванцевич Н.В. и др. (1993). *Сетевые спутниковые радионавигационные системы*. 2-е изд. М.: Радио и связь.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55) </w:t>
      </w:r>
      <w:r>
        <w:rPr>
          <w:rFonts w:ascii="Times New Roman" w:hAnsi="Times New Roman"/>
          <w:b w:val="0"/>
          <w:i w:val="0"/>
          <w:color w:val="000000"/>
          <w:sz w:val="28"/>
        </w:rPr>
        <w:t>Соловьёв Ю.А. (2000). *Системы спутниковой навигации*. М.: Эко-Трендз.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56) </w:t>
      </w:r>
      <w:r>
        <w:rPr>
          <w:rFonts w:ascii="Times New Roman" w:hAnsi="Times New Roman"/>
          <w:b w:val="0"/>
          <w:i w:val="0"/>
          <w:color w:val="000000"/>
          <w:sz w:val="28"/>
        </w:rPr>
        <w:t>ГОСТ Р 52928-2010. Система спутниковая навигационная глобальная. Термины и определения.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57) </w:t>
      </w:r>
      <w:r>
        <w:rPr>
          <w:rFonts w:ascii="Times New Roman" w:hAnsi="Times New Roman"/>
          <w:b w:val="0"/>
          <w:i w:val="0"/>
          <w:color w:val="000000"/>
          <w:sz w:val="28"/>
        </w:rPr>
        <w:t>Параметры Земли 1990 года (ПЗ-90.11): справочный документ. М.: Военно-топографическое управление ГШ ВС РФ, 2014.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58) </w:t>
      </w:r>
      <w:r>
        <w:rPr>
          <w:rFonts w:ascii="Times New Roman" w:hAnsi="Times New Roman"/>
          <w:b w:val="0"/>
          <w:i w:val="0"/>
          <w:color w:val="000000"/>
          <w:sz w:val="28"/>
        </w:rPr>
        <w:t>Reid T.G.R., Gala M., Favreau M. et al. (2025). Xona Pulsar Compatibility with GNSS. Xona Space Systems. arXiv:2509.16183.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(СИЯНИЕ-ТП-001) выполнен в рамках НИР «Сияние»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(основание — приказ ООО «ШИВА НЕТВОРК» № 11/2026) и служит основанием для разработки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технического задания на опытно-конструкторскую работу по системе АВРОРА.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Relationship Id="rId194" Type="http://schemas.openxmlformats.org/officeDocument/2006/relationships/image" Target="media/image185.png"/><Relationship Id="rId195" Type="http://schemas.openxmlformats.org/officeDocument/2006/relationships/image" Target="media/image186.png"/><Relationship Id="rId196" Type="http://schemas.openxmlformats.org/officeDocument/2006/relationships/image" Target="media/image187.png"/><Relationship Id="rId197" Type="http://schemas.openxmlformats.org/officeDocument/2006/relationships/image" Target="media/image188.png"/><Relationship Id="rId198" Type="http://schemas.openxmlformats.org/officeDocument/2006/relationships/image" Target="media/image189.png"/><Relationship Id="rId199" Type="http://schemas.openxmlformats.org/officeDocument/2006/relationships/image" Target="media/image190.png"/><Relationship Id="rId200" Type="http://schemas.openxmlformats.org/officeDocument/2006/relationships/image" Target="media/image191.png"/><Relationship Id="rId201" Type="http://schemas.openxmlformats.org/officeDocument/2006/relationships/image" Target="media/image192.png"/><Relationship Id="rId202" Type="http://schemas.openxmlformats.org/officeDocument/2006/relationships/image" Target="media/image19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