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6"/>
        <w:gridCol w:w="1500"/>
      </w:tblGrid>
      <w:tr>
        <w:tc>
          <w:tcPr>
            <w:tcW w:type="dxa" w:w="8246"/>
            <w:tcBorders>
              <w:top w:val="none"/>
              <w:left w:val="none"/>
              <w:bottom w:val="none"/>
              <w:right w:val="none"/>
            </w:tcBorders>
            <w:shd w:fill="0A1426" w:val="clear"/>
            <w:tcMar>
              <w:top w:type="dxa" w:w="200"/>
              <w:left w:type="dxa" w:w="260"/>
              <w:bottom w:type="dxa" w:w="20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48"/>
                <w:szCs w:val="48"/>
              </w:rPr>
              <w:t xml:space="preserve">АВРОРА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7D6E6"/>
                <w:sz w:val="20"/>
                <w:szCs w:val="20"/>
              </w:rPr>
              <w:t xml:space="preserve">Суверенная низкоорбитальная система навигации, позиционирования и синхронизации</w:t>
            </w:r>
          </w:p>
          <w:p>
            <w:pPr>
              <w:tabs>
                <w:tab w:val="right" w:pos="7926"/>
              </w:tabs>
            </w:pPr>
            <w:r>
              <w:rPr>
                <w:rFonts w:ascii="Arial" w:cs="Arial" w:eastAsia="Arial" w:hAnsi="Arial"/>
                <w:b/>
                <w:bCs/>
                <w:color w:val="4FE0B0"/>
                <w:sz w:val="17"/>
                <w:szCs w:val="17"/>
              </w:rPr>
              <w:t xml:space="preserve">LEO-усиление ГЛОНАСС · 1000 км · 75°</w:t>
            </w:r>
            <w:r>
              <w:rPr>
                <w:rFonts w:ascii="Arial" w:cs="Arial" w:eastAsia="Arial" w:hAnsi="Arial"/>
                <w:color w:val="8AA0B8"/>
                <w:sz w:val="17"/>
                <w:szCs w:val="17"/>
              </w:rPr>
              <w:t xml:space="preserve">	НИР «Сияние» · СИЯНИЕ-ТП-001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0A1426" w:val="clear"/>
            <w:tcMar>
              <w:top w:type="dxa" w:w="80"/>
              <w:left w:type="dxa" w:w="8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76300" cy="876300"/>
                  <wp:effectExtent t="0" r="0" b="0" l="0"/>
                  <wp:docPr id="1" name="logo" descr="AURORA / ШИВА НЕТВОРК" title="Логоти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140" w:line="240"/>
      </w:pPr>
      <w:r>
        <w:rPr>
          <w:rFonts w:ascii="Arial" w:cs="Arial" w:eastAsia="Arial" w:hAnsi="Arial"/>
          <w:b/>
          <w:bCs/>
          <w:i w:val="false"/>
          <w:iCs w:val="false"/>
          <w:color w:val="0E8C6B"/>
          <w:sz w:val="19"/>
          <w:szCs w:val="19"/>
        </w:rPr>
        <w:t xml:space="preserve">Назначение.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3A"/>
          <w:sz w:val="19"/>
          <w:szCs w:val="19"/>
        </w:rPr>
        <w:t xml:space="preserve">АВРОРА — суверенное низкоорбитальное (LEO, 1000 км) усиление ГЛОНАСС в части точности, помехозащиты, покрытия Арктики и службы точного времени. Не замена среднеорбитальной группировки, а дополняющий её эшелон, дающий то, что MEO дать не может: сильный сигнал, быструю смену геометрии и суверенное время.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E7F8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E8C6B"/>
                <w:sz w:val="34"/>
                <w:szCs w:val="34"/>
              </w:rPr>
              <w:t xml:space="preserve">CEP ≈ 1 м</w:t>
            </w:r>
          </w:p>
          <w:p>
            <w:r>
              <w:rPr>
                <w:rFonts w:ascii="Arial" w:cs="Arial" w:eastAsia="Arial" w:hAnsi="Arial"/>
                <w:color w:val="4A5E72"/>
                <w:sz w:val="16"/>
                <w:szCs w:val="16"/>
              </w:rPr>
              <w:t xml:space="preserve">Точность · комбинир. режим</w:t>
            </w:r>
          </w:p>
        </w:tc>
        <w:tc>
          <w:tcPr>
            <w:tcW w:type="dxa" w:w="3248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E6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27C9C"/>
                <w:sz w:val="34"/>
                <w:szCs w:val="34"/>
              </w:rPr>
              <w:t xml:space="preserve">1–3 мин</w:t>
            </w:r>
          </w:p>
          <w:p>
            <w:r>
              <w:rPr>
                <w:rFonts w:ascii="Arial" w:cs="Arial" w:eastAsia="Arial" w:hAnsi="Arial"/>
                <w:color w:val="4A5E72"/>
                <w:sz w:val="16"/>
                <w:szCs w:val="16"/>
              </w:rPr>
              <w:t xml:space="preserve">Сходимость PPP</w:t>
            </w:r>
          </w:p>
        </w:tc>
        <w:tc>
          <w:tcPr>
            <w:tcW w:type="dxa" w:w="3248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2ECF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D34D6"/>
                <w:sz w:val="34"/>
                <w:szCs w:val="34"/>
              </w:rPr>
              <w:t xml:space="preserve">≈ 14</w:t>
            </w:r>
          </w:p>
          <w:p>
            <w:r>
              <w:rPr>
                <w:rFonts w:ascii="Arial" w:cs="Arial" w:eastAsia="Arial" w:hAnsi="Arial"/>
                <w:color w:val="4A5E72"/>
                <w:sz w:val="16"/>
                <w:szCs w:val="16"/>
              </w:rPr>
              <w:t xml:space="preserve">Спутников в виду (N_vis)</w:t>
            </w:r>
          </w:p>
        </w:tc>
      </w:tr>
      <w:tr>
        <w:tc>
          <w:tcPr>
            <w:tcW w:type="dxa" w:w="3248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E7F8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E8C6B"/>
                <w:sz w:val="34"/>
                <w:szCs w:val="34"/>
              </w:rPr>
              <w:t xml:space="preserve">&lt; 5 нс</w:t>
            </w:r>
          </w:p>
          <w:p>
            <w:r>
              <w:rPr>
                <w:rFonts w:ascii="Arial" w:cs="Arial" w:eastAsia="Arial" w:hAnsi="Arial"/>
                <w:color w:val="4A5E72"/>
                <w:sz w:val="16"/>
                <w:szCs w:val="16"/>
              </w:rPr>
              <w:t xml:space="preserve">Синхронизация к UTC(SU)</w:t>
            </w:r>
          </w:p>
        </w:tc>
        <w:tc>
          <w:tcPr>
            <w:tcW w:type="dxa" w:w="3248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E6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27C9C"/>
                <w:sz w:val="34"/>
                <w:szCs w:val="34"/>
              </w:rPr>
              <w:t xml:space="preserve">1,67</w:t>
            </w:r>
          </w:p>
          <w:p>
            <w:r>
              <w:rPr>
                <w:rFonts w:ascii="Arial" w:cs="Arial" w:eastAsia="Arial" w:hAnsi="Arial"/>
                <w:color w:val="4A5E72"/>
                <w:sz w:val="16"/>
                <w:szCs w:val="16"/>
              </w:rPr>
              <w:t xml:space="preserve">PDOP p95 · комбинир.</w:t>
            </w:r>
          </w:p>
        </w:tc>
        <w:tc>
          <w:tcPr>
            <w:tcW w:type="dxa" w:w="3248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2ECF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D34D6"/>
                <w:sz w:val="34"/>
                <w:szCs w:val="34"/>
              </w:rPr>
              <w:t xml:space="preserve">+23 дБ</w:t>
            </w:r>
          </w:p>
          <w:p>
            <w:r>
              <w:rPr>
                <w:rFonts w:ascii="Arial" w:cs="Arial" w:eastAsia="Arial" w:hAnsi="Arial"/>
                <w:color w:val="4A5E72"/>
                <w:sz w:val="16"/>
                <w:szCs w:val="16"/>
              </w:rPr>
              <w:t xml:space="preserve">Помехозащита Сервиса Б (×200)</w:t>
            </w:r>
          </w:p>
        </w:tc>
      </w:tr>
    </w:tbl>
    <w:p>
      <w:pPr>
        <w:pBdr>
          <w:bottom w:val="single" w:color="D4DEE8" w:sz="6" w:space="2"/>
        </w:pBdr>
        <w:spacing w:after="70" w:before="150" w:line="240"/>
      </w:pPr>
      <w:r>
        <w:rPr>
          <w:rFonts w:ascii="Arial" w:cs="Arial" w:eastAsia="Arial" w:hAnsi="Arial"/>
          <w:b/>
          <w:bCs/>
          <w:caps/>
          <w:color w:val="0E8C6B"/>
          <w:sz w:val="21"/>
          <w:szCs w:val="21"/>
        </w:rPr>
        <w:t xml:space="preserve">Три сервиса с одной группировки</w:t>
      </w:r>
    </w:p>
    <w:p>
      <w:pPr>
        <w:pStyle w:val="ListParagraph"/>
        <w:numPr>
          <w:ilvl w:val="0"/>
          <w:numId w:val="2"/>
        </w:numPr>
        <w:spacing w:after="30" w:line="236"/>
      </w:pPr>
      <w:r>
        <w:rPr>
          <w:rFonts w:ascii="Arial" w:cs="Arial" w:eastAsia="Arial" w:hAnsi="Arial"/>
          <w:b/>
          <w:bCs/>
          <w:i w:val="false"/>
          <w:iCs w:val="false"/>
          <w:color w:val="1B2A3A"/>
          <w:sz w:val="19"/>
          <w:szCs w:val="19"/>
        </w:rPr>
        <w:t xml:space="preserve">Сервис А — открытый.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3A"/>
          <w:sz w:val="19"/>
          <w:szCs w:val="19"/>
        </w:rPr>
        <w:t xml:space="preserve">Масс-маркет и комбинированный режим с ГЛОНАСС; CEP ≈ 1 м; усиление +11 дБ; совместим с GPS/Galileo.</w:t>
      </w:r>
    </w:p>
    <w:p>
      <w:pPr>
        <w:pStyle w:val="ListParagraph"/>
        <w:numPr>
          <w:ilvl w:val="0"/>
          <w:numId w:val="2"/>
        </w:numPr>
        <w:spacing w:after="30" w:line="236"/>
      </w:pPr>
      <w:r>
        <w:rPr>
          <w:rFonts w:ascii="Arial" w:cs="Arial" w:eastAsia="Arial" w:hAnsi="Arial"/>
          <w:b/>
          <w:bCs/>
          <w:i w:val="false"/>
          <w:iCs w:val="false"/>
          <w:color w:val="1B2A3A"/>
          <w:sz w:val="19"/>
          <w:szCs w:val="19"/>
        </w:rPr>
        <w:t xml:space="preserve">Сервис Б — защищённый.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3A"/>
          <w:sz w:val="19"/>
          <w:szCs w:val="19"/>
        </w:rPr>
        <w:t xml:space="preserve">Помехозащита +23 дБ (×200) в выделенной L-полосе, без снижения орбиты; аутентификация навигационного сообщения на ГОСТ.</w:t>
      </w:r>
    </w:p>
    <w:p>
      <w:pPr>
        <w:pStyle w:val="ListParagraph"/>
        <w:numPr>
          <w:ilvl w:val="0"/>
          <w:numId w:val="2"/>
        </w:numPr>
        <w:spacing w:after="30" w:line="236"/>
      </w:pPr>
      <w:r>
        <w:rPr>
          <w:rFonts w:ascii="Arial" w:cs="Arial" w:eastAsia="Arial" w:hAnsi="Arial"/>
          <w:b/>
          <w:bCs/>
          <w:i w:val="false"/>
          <w:iCs w:val="false"/>
          <w:color w:val="1B2A3A"/>
          <w:sz w:val="19"/>
          <w:szCs w:val="19"/>
        </w:rPr>
        <w:t xml:space="preserve">SHIWA TIME — время.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3A"/>
          <w:sz w:val="19"/>
          <w:szCs w:val="19"/>
        </w:rPr>
        <w:t xml:space="preserve">Суверенная служба точного времени UTC(SU), наносекундный уровень; наземная P2P-раздача (ПО и аппаратура ШИВА НЕТВОРК) туда, где радиосигнал недоступен.</w:t>
      </w:r>
    </w:p>
    <w:p>
      <w:pPr>
        <w:pBdr>
          <w:bottom w:val="single" w:color="D4DEE8" w:sz="6" w:space="2"/>
        </w:pBdr>
        <w:spacing w:after="70" w:before="150" w:line="240"/>
      </w:pPr>
      <w:r>
        <w:rPr>
          <w:rFonts w:ascii="Arial" w:cs="Arial" w:eastAsia="Arial" w:hAnsi="Arial"/>
          <w:b/>
          <w:bCs/>
          <w:caps/>
          <w:color w:val="127C9C"/>
          <w:sz w:val="21"/>
          <w:szCs w:val="21"/>
        </w:rPr>
        <w:t xml:space="preserve">Преимущество — честно</w:t>
      </w:r>
    </w:p>
    <w:p>
      <w:pPr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A"/>
          <w:sz w:val="19"/>
          <w:szCs w:val="19"/>
        </w:rPr>
        <w:t xml:space="preserve">По точности одиночной псевдодальности АВРОРА — на уровне ГЛОНАСС. Выигрыш даёт совокупность: геометрия комбинированного режима, PPP-сходимость 1–3 мин (против 20–40), рабочая Арктика (75°), помехозащита и аутентификация на отечественной криптографии.</w:t>
      </w:r>
    </w:p>
    <w:p>
      <w:pPr>
        <w:pBdr>
          <w:bottom w:val="single" w:color="D4DEE8" w:sz="6" w:space="2"/>
        </w:pBdr>
        <w:spacing w:after="70" w:before="150" w:line="240"/>
      </w:pPr>
      <w:r>
        <w:rPr>
          <w:rFonts w:ascii="Arial" w:cs="Arial" w:eastAsia="Arial" w:hAnsi="Arial"/>
          <w:b/>
          <w:bCs/>
          <w:caps/>
          <w:color w:val="6D34D6"/>
          <w:sz w:val="21"/>
          <w:szCs w:val="21"/>
        </w:rPr>
        <w:t xml:space="preserve">Суверенность инфраструктуры</w:t>
      </w:r>
    </w:p>
    <w:p>
      <w:pPr>
        <w:pStyle w:val="ListParagraph"/>
        <w:numPr>
          <w:ilvl w:val="0"/>
          <w:numId w:val="2"/>
        </w:numPr>
        <w:spacing w:after="30" w:line="2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A"/>
          <w:sz w:val="19"/>
          <w:szCs w:val="19"/>
        </w:rPr>
        <w:t xml:space="preserve">Координатная основа — ПЗ-90.11; время — UTC(SU) (H-мазер Ч1-1008, ВРЕМЯ-Ч).</w:t>
      </w:r>
    </w:p>
    <w:p>
      <w:pPr>
        <w:pStyle w:val="ListParagraph"/>
        <w:numPr>
          <w:ilvl w:val="0"/>
          <w:numId w:val="2"/>
        </w:numPr>
        <w:spacing w:after="30" w:line="2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A"/>
          <w:sz w:val="19"/>
          <w:szCs w:val="19"/>
        </w:rPr>
        <w:t xml:space="preserve">Криптография навигационного сообщения — только ГОСТ (Стрибог, 34.10, Кузнечик).</w:t>
      </w:r>
    </w:p>
    <w:p>
      <w:pPr>
        <w:pStyle w:val="ListParagraph"/>
        <w:numPr>
          <w:ilvl w:val="0"/>
          <w:numId w:val="2"/>
        </w:numPr>
        <w:spacing w:after="30" w:line="2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A"/>
          <w:sz w:val="19"/>
          <w:szCs w:val="19"/>
        </w:rPr>
        <w:t xml:space="preserve">Бортовые часы и наземная раздача времени — ООО «ШИВА НЕТВОРК» (Quantum-18 + CSAC, SHIWA TIME).</w:t>
      </w:r>
    </w:p>
    <w:p>
      <w:pPr>
        <w:pStyle w:val="ListParagraph"/>
        <w:numPr>
          <w:ilvl w:val="0"/>
          <w:numId w:val="2"/>
        </w:numPr>
        <w:spacing w:after="30" w:line="2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A"/>
          <w:sz w:val="19"/>
          <w:szCs w:val="19"/>
        </w:rPr>
        <w:t xml:space="preserve">Элементная база и наземный сегмент — отечественные.</w:t>
      </w:r>
    </w:p>
    <w:p>
      <w:pPr>
        <w:pBdr>
          <w:bottom w:val="single" w:color="D4DEE8" w:sz="6" w:space="2"/>
        </w:pBdr>
        <w:spacing w:after="70" w:before="150" w:line="240"/>
      </w:pPr>
      <w:r>
        <w:rPr>
          <w:rFonts w:ascii="Arial" w:cs="Arial" w:eastAsia="Arial" w:hAnsi="Arial"/>
          <w:b/>
          <w:bCs/>
          <w:caps/>
          <w:color w:val="C77A0A"/>
          <w:sz w:val="21"/>
          <w:szCs w:val="21"/>
        </w:rPr>
        <w:t xml:space="preserve">Дорожная карта и зрелость</w:t>
      </w:r>
    </w:p>
    <w:p>
      <w:pPr>
        <w:spacing w:after="40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C77A0A"/>
          <w:sz w:val="19"/>
          <w:szCs w:val="19"/>
        </w:rPr>
        <w:t xml:space="preserve">Фазы.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3A"/>
          <w:sz w:val="19"/>
          <w:szCs w:val="19"/>
        </w:rPr>
        <w:t xml:space="preserve">3 → 12 → 90 → 180 → 300 КА (2026 → 2034). Дешёвые демонстраторы Ф0–Ф1 (16U CubeSat) проверяют сигнал, ISL и дисциплину часов до серийных инвестиций.</w:t>
      </w:r>
    </w:p>
    <w:p>
      <w:pPr>
        <w:spacing w:after="60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C77A0A"/>
          <w:sz w:val="19"/>
          <w:szCs w:val="19"/>
        </w:rPr>
        <w:t xml:space="preserve">Зрелость.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3A"/>
          <w:sz w:val="19"/>
          <w:szCs w:val="19"/>
        </w:rPr>
        <w:t xml:space="preserve">TRL 2–3 (аванпроект). Критический путь — часы CSAC, орбитальное определение/ISL, спектр Сервиса Б — закрывается на демонстраторах. Числа — выход комплекса моделирования aurora.pnt; внешняя сверка с натурными LEO-данными — §45.3.</w:t>
      </w:r>
    </w:p>
    <w:p>
      <w:pPr>
        <w:pBdr>
          <w:bottom w:val="single" w:color="D4DEE8" w:sz="6" w:space="2"/>
        </w:pBdr>
        <w:spacing w:after="70" w:before="150" w:line="240"/>
      </w:pPr>
      <w:r>
        <w:rPr>
          <w:rFonts w:ascii="Arial" w:cs="Arial" w:eastAsia="Arial" w:hAnsi="Arial"/>
          <w:b/>
          <w:bCs/>
          <w:caps/>
          <w:color w:val="0E8C6B"/>
          <w:sz w:val="21"/>
          <w:szCs w:val="21"/>
        </w:rPr>
        <w:t xml:space="preserve">Промышленная кооперация</w:t>
      </w:r>
    </w:p>
    <w:p>
      <w:pPr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A"/>
          <w:sz w:val="19"/>
          <w:szCs w:val="19"/>
        </w:rPr>
        <w:t xml:space="preserve">Платформа — АО «ИСС» / ГК «СПУТНИКС»; навигационная ПН и время — АО «РКС»; бортовые часы и SHIWA TIME — ООО «ШИВА НЕТВОРК»; наземный эталон — ОАО «Время-Ч»; выведение — АО «РКЦ Прогресс».</w:t>
      </w:r>
    </w:p>
    <w:sectPr>
      <w:footerReference w:type="default" r:id="rId7"/>
      <w:pgSz w:w="11906" w:h="16838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95A6"/>
        <w:sz w:val="16"/>
        <w:szCs w:val="16"/>
      </w:rPr>
      <w:t xml:space="preserve">ООО «ШИВА НЕТВОРК»  ·  2026  ·  Конфиденциально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00" w:hanging="200"/>
      </w:pPr>
      <w:rPr>
        <w:color w:val="0E8C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ee7a376cb59804d9bae64449f6aacf140327b5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2026-06-27T14:12:56.367Z</dcterms:created>
  <dcterms:modified xsi:type="dcterms:W3CDTF">2026-06-27T14:12:56.367Z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