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 требует ~7 мм Al (запас 1,2×)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Локальное экранирование или подтверждение дозы секторным анализом (§32)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Уточнить достижимую точность POD с ISL + наземной сетью (§13, §47); фазовая ISL-дальнометрия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 не промоделирована поэпизодно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Прогон роста UERE/CEP на space-Rb-якорях за 24–72 ч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 не реализован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Реализовать (роадмап §22)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— сценарий продлённой автономии, а не норма (0,7 м,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Явно пометить как деградацию, отделить от нормального режима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Закупка vs собственная разработка CSAC («КПН») и space-Rb Quantum-18 (ШИВА НЕТВОРК)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по элементной базе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