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193 рис., 139 табл., 49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усиление ГЛОНАСС (а не замена MEO-навигации) — с улучшенными характеристиками сигнала, синхронизации и геометрии покрытия, дополняющими существующую среднеорбитальную группировку.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привязка к национальной шкале UTC(SU) (H-мазер ВРЕМЯ-Ч, §8) — независимо от зарубежных ГНСС (GPS/Galileo/BeiDou) и иностранной инфраструктуры 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инфраструктуры: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датум ПЗ-90.11 (§64), криптозащита навигационного сообщения на ГОСТ (§16), отечественная элементная и наземная база, промышленная кооперация (§66).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 — космического (группировка КА с ISL),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пользовательского и наземного (МКС):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6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diagram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Структурная схема сегментов системы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≈ 175 м/с (удержание + увод, §19.2)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кг + 30 кг топлива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Общий вид системы — группировка Walker 300/15 на орбите 1000 км (наклонение 75°)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конфигурация космического аппарата с подписанными элементами (навигационная ПН надира,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солнечные панели, межспутниковые линии Ka, звёздный датчик):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_render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Группировка АВРОРА на орбите и конфигурация 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Интерактивная 3D-сцена с реальными (время-динамическими) орбитами и полноценной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glTF-моделью КА доступна как </w:t>
      </w:r>
      <w:r>
        <w:rPr>
          <w:rFonts w:ascii="Courier New" w:hAnsi="Courier New"/>
          <w:b w:val="0"/>
          <w:i/>
          <w:color w:val="555555"/>
          <w:sz w:val="22"/>
        </w:rPr>
        <w:t>results/cesium/cesium_gltf_phase4.html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(открыть в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браузере; CLI </w:t>
      </w:r>
      <w:r>
        <w:rPr>
          <w:rFonts w:ascii="Courier New" w:hAnsi="Courier New"/>
          <w:b w:val="0"/>
          <w:i/>
          <w:color w:val="555555"/>
          <w:sz w:val="22"/>
        </w:rPr>
        <w:t>cesium-gltf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, офлайн — после </w:t>
      </w:r>
      <w:r>
        <w:rPr>
          <w:rFonts w:ascii="Courier New" w:hAnsi="Courier New"/>
          <w:b w:val="0"/>
          <w:i/>
          <w:color w:val="555555"/>
          <w:sz w:val="22"/>
        </w:rPr>
        <w:t>download-cesium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−156 дБ в зените, задержка 3,3 мс) → приёмник (≥ 45 дБ·Гц, 238 каналов) → Kalman-фильтр с IF-комбинацией L1+L5 → PNT решение &lt; 0,5 м / &lt; 5 нс UTC(SU).*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3.5  Навигационная полезная нагрузка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Навигационная ПН строится на отечественной частотно-временно́й базе. **Оба бортовых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стандарта частоты — собственная разработка ООО «ШИВА НЕТВОРК»:** чип-цезиевый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(все КА) и космический рубидий Quantum-18 (якорные КА), что устраняет внешнюю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по ключевому узлу. Стандарты сводятся в ансамблевую шкалу (§28.6),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привязанную к UTC(SU) через наземный H-мазер Ч1-1008.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2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payload_diagram_phase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Навигационная ПН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Цепочка формирования сигнала: ЧВО (опорная шкала/частота) → формирование навигационного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сообщения ANAV (эфемериды по POD §47; поправки часов a₀,a₁,a₂; межчастотная задержка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TGD/DCB §37.4; параметр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АВРОРА↔ГЛОНАСС; ионосферная модель и EOP; аутентификация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ГОСТ — TESLA-Стрибог §16) → формирование сигнала (коды Weil/Extended Memory →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модулятор BOC/TMBOC и BPSK(10), кодирование LDPC(1/2)+CRC-32, §6) → разделение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(L1/L5, УМ 5/3 Вт, изо-flux антенна) и </w:t>
      </w:r>
      <w:r>
        <w:rPr>
          <w:rFonts w:ascii="Times New Roman" w:hAnsi="Times New Roman"/>
          <w:b/>
          <w:i w:val="0"/>
          <w:color w:val="000000"/>
          <w:sz w:val="28"/>
        </w:rPr>
        <w:t>Сервис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L-полоса,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 30 Вт, фазированная решётка 8 дБи, §65). Межспутниковые линии Ka замыкают дисциплину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часов (TWSTT) и автономное определение орбит (дальнометрия, §48).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Интерфейс с ГЛОНАСС /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(ключевой для комбинированного режима и кооперации с РКС):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единый датум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(§64), общая шкала </w:t>
      </w:r>
      <w:r>
        <w:rPr>
          <w:rFonts w:ascii="Times New Roman" w:hAnsi="Times New Roman"/>
          <w:b/>
          <w:i w:val="0"/>
          <w:color w:val="000000"/>
          <w:sz w:val="28"/>
        </w:rPr>
        <w:t>UTC(SU)</w:t>
      </w:r>
      <w:r>
        <w:rPr>
          <w:rFonts w:ascii="Times New Roman" w:hAnsi="Times New Roman"/>
          <w:b w:val="0"/>
          <w:i w:val="0"/>
          <w:color w:val="000000"/>
          <w:sz w:val="28"/>
        </w:rPr>
        <w:t>, передаваемый параметр межсистемного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сдвига времени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(АВРОРА↔ГЛОНАСС) в навигационном сообщении. Это обеспечивает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совместную обработку измерений АВРОРА и ГЛОНАСС в одном решении (§29) без потерь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трансформацию координат и времени — основа позиционирования системы как усиления ГЛОНАСС.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152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160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группировки на глобусе (не плоская проекция) — PDOP и N_vis по поверхности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Земли; видно усиление к ±75° (наклонение) и ослабление на экваторе: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op_globe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и N_vis на глобусе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≤21 с (7 с с A-GNSS, §27.3)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Антенно-сигнальная сводка: 3D-диаграммы направленности изо-flux антенн Сервиса А (RNSS)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Сервиса Б (защищённый, §65), созвездие сигнала L1C (данные+пилот) и waterfall-спектрограмма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канала L1 с перемежающейся помехой (иллюстрация помехозащиты §15):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signal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Антенны А/Б, созвездие сигнала и спектрограмма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Согласование терминологии (§27.3).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Значения таблицы предполагают наличие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действующего </w:t>
      </w:r>
      <w:r>
        <w:rPr>
          <w:rFonts w:ascii="Times New Roman" w:hAnsi="Times New Roman"/>
          <w:b/>
          <w:i/>
          <w:color w:val="555555"/>
          <w:sz w:val="28"/>
        </w:rPr>
        <w:t>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(заводская загрузка либо кэш) — в классической градации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это «тёплый» сценарий по альманаху. </w:t>
      </w:r>
      <w:r>
        <w:rPr>
          <w:rFonts w:ascii="Times New Roman" w:hAnsi="Times New Roman"/>
          <w:b/>
          <w:i/>
          <w:color w:val="555555"/>
          <w:sz w:val="28"/>
        </w:rPr>
        <w:t>Истинно холодный старт без 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требует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его приёма по медленному навигационному каналу (≈ 112 с) и слепого доплеровского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поиска, что даёт TTFF ≈ </w:t>
      </w:r>
      <w:r>
        <w:rPr>
          <w:rFonts w:ascii="Times New Roman" w:hAnsi="Times New Roman"/>
          <w:b/>
          <w:i/>
          <w:color w:val="555555"/>
          <w:sz w:val="28"/>
        </w:rPr>
        <w:t>149 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(§27.3). Ассистирование A-GNSS (§27.3) снимает оба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вклада и возвращает TTFF к ≈ </w:t>
      </w:r>
      <w:r>
        <w:rPr>
          <w:rFonts w:ascii="Times New Roman" w:hAnsi="Times New Roman"/>
          <w:b/>
          <w:i/>
          <w:color w:val="555555"/>
          <w:sz w:val="28"/>
        </w:rPr>
        <w:t>7 с</w:t>
      </w:r>
      <w:r>
        <w:rPr>
          <w:rFonts w:ascii="Times New Roman" w:hAnsi="Times New Roman"/>
          <w:b w:val="0"/>
          <w:i/>
          <w:color w:val="555555"/>
          <w:sz w:val="28"/>
        </w:rPr>
        <w:t>. Таким образом строка «Холодный» (21,3 с) — это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старт с известным альманахом, а 149 с — старт «с нуля».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Оба бортовых стандарта частоты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ООО «ШИВА НЕТВОРК»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(якорные КА) и терминальный чип-масштабный цезиевый стандарт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(все КА).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снимает внешнюю зависимость по элементной базе часов — ключевому суверенному узлу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системы. ТТХ заданы (Таблица 19); лётная квалификация обоих стандартов предусмотрена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абонентский (бытовой 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Строка OCXO здесь — </w:t>
      </w:r>
      <w:r>
        <w:rPr>
          <w:rFonts w:ascii="Times New Roman" w:hAnsi="Times New Roman"/>
          <w:b/>
          <w:i/>
          <w:color w:val="555555"/>
          <w:sz w:val="28"/>
        </w:rPr>
        <w:t>бытовой абонентский класс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(1×10⁻¹⁰). Опорные узлы наземной сети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SHIWA TIME используют OCXO </w:t>
      </w:r>
      <w:r>
        <w:rPr>
          <w:rFonts w:ascii="Times New Roman" w:hAnsi="Times New Roman"/>
          <w:b/>
          <w:i/>
          <w:color w:val="555555"/>
          <w:sz w:val="28"/>
        </w:rPr>
        <w:t>Stratum 3E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(Rakon/SiTime, 5×10⁻¹², §8.1) с существенно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бо́льшим холдовером, либо миниатюрный CSAC для автономного удержания (§28.4).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(термостабилизация бортового CSAC —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Принятые </w:t>
      </w:r>
      <w:r>
        <w:rPr>
          <w:rFonts w:ascii="Times New Roman" w:hAnsi="Times New Roman"/>
          <w:b/>
          <w:i w:val="0"/>
          <w:color w:val="000000"/>
          <w:sz w:val="28"/>
        </w:rPr>
        <w:t>1,0 нс/хоп (0,30 м)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консервативная эксплуатационная оценка с запасом на стабильность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фазового центра антенны, многолучёвость и остаток калибровки; тепловой предел кодовой ISL-дальности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 ниже (≈ 0,03 м, §9.4), а переход на фазовую ISL даёт 0,03 нс/хоп (§8.6) — то есть бюджет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имеет встроенный резерв.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Топология mesh-сети ISL (внутриплоскостные кольца + межплоскостные линии) и иерархия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gossip-консенсуса SHIWA TIME-Space (Shard → Region → Global, §28.6.4):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mesh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 ISL-mesh и иерархия gossip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это </w:t>
      </w:r>
      <w:r>
        <w:rPr>
          <w:rFonts w:ascii="Times New Roman" w:hAnsi="Times New Roman"/>
          <w:b/>
          <w:i w:val="0"/>
          <w:color w:val="000000"/>
          <w:sz w:val="28"/>
        </w:rPr>
        <w:t>2,6 % канальной скорости 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(§7.2) или </w:t>
      </w:r>
      <w:r>
        <w:rPr>
          <w:rFonts w:ascii="Times New Roman" w:hAnsi="Times New Roman"/>
          <w:b/>
          <w:i w:val="0"/>
          <w:color w:val="000000"/>
          <w:sz w:val="28"/>
        </w:rPr>
        <w:t>5,1 % информационной скорости 250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кодирования LDPC(1/2).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перигей ≈ 550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§22.2, 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≈ 550 км, естественный сход ≤ 25 лет, §22.2).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Рабочий диапазон бортового CSAC: −10°C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 физического пакета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(1,05 м/с — статья общего бюджета ΔV, §19.2).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≈ 14 в среднем, 7–22 по широте; §5, §46)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PDOP p95 здесь приведён для зоны РФ (рабочий регион). Глобальный автономный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p95 в номинале — ≈ 5,0 (§5.3, §67.1); комбинированный с ГЛОНАСС над РФ — 1,67 (§8.6).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29.3  Математическая модель и программный комплекс моделирования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расчётные результаты настоящего ТП получены **разработанной в рамках НИР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математической моделью и программным комплексом моделирования** низкоорбитальной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группировки АВРОРА (</w:t>
      </w:r>
      <w:r>
        <w:rPr>
          <w:rFonts w:ascii="Courier New" w:hAnsi="Courier New"/>
          <w:b w:val="0"/>
          <w:i w:val="0"/>
          <w:color w:val="7B0000"/>
          <w:sz w:val="22"/>
        </w:rPr>
        <w:t>aurora.pnt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/>
          <w:i w:val="0"/>
          <w:color w:val="000000"/>
          <w:sz w:val="28"/>
        </w:rPr>
        <w:t>90 модулей</w:t>
      </w:r>
      <w:r>
        <w:rPr>
          <w:rFonts w:ascii="Times New Roman" w:hAnsi="Times New Roman"/>
          <w:b w:val="0"/>
          <w:i w:val="0"/>
          <w:color w:val="000000"/>
          <w:sz w:val="28"/>
        </w:rPr>
        <w:t>, единый интерфейс командной строки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aurora-pnt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/>
          <w:i w:val="0"/>
          <w:color w:val="000000"/>
          <w:sz w:val="28"/>
        </w:rPr>
        <w:t>66 команд</w:t>
      </w:r>
      <w:r>
        <w:rPr>
          <w:rFonts w:ascii="Times New Roman" w:hAnsi="Times New Roman"/>
          <w:b w:val="0"/>
          <w:i w:val="0"/>
          <w:color w:val="000000"/>
          <w:sz w:val="28"/>
        </w:rPr>
        <w:t>). Комплекс охватывает: орбитальную пропагацию (Walker, J2),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геометрию и DOP, бюджеты линий связи и UERE, часовую цепочку и ансамблевую шкалу времени,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навигационный сигнал и кодовые последовательности, орбитальное определение, целостность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(RAIM/ARAIM), надёжность и стоимость жизненного цикла (LCC), а также визуализацию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(2D/3D-сцены, анимация облёта, интерактивный Cesium-глобус).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Результаты воспроизводимы: каждый прогон сохраняется в каталоге </w:t>
      </w:r>
      <w:r>
        <w:rPr>
          <w:rFonts w:ascii="Courier New" w:hAnsi="Courier New"/>
          <w:b w:val="0"/>
          <w:i w:val="0"/>
          <w:color w:val="7B0000"/>
          <w:sz w:val="22"/>
        </w:rPr>
        <w:t>results/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/>
          <w:b/>
          <w:i w:val="0"/>
          <w:color w:val="000000"/>
          <w:sz w:val="28"/>
        </w:rPr>
        <w:t>84 набора</w:t>
      </w:r>
      <w:r>
        <w:rPr>
          <w:rFonts w:ascii="Times New Roman" w:hAnsi="Times New Roman"/>
          <w:b w:val="0"/>
          <w:i w:val="0"/>
          <w:color w:val="000000"/>
          <w:sz w:val="28"/>
        </w:rPr>
        <w:t>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покрыт smoke-тестами (</w:t>
      </w:r>
      <w:r>
        <w:rPr>
          <w:rFonts w:ascii="Times New Roman" w:hAnsi="Times New Roman"/>
          <w:b/>
          <w:i w:val="0"/>
          <w:color w:val="000000"/>
          <w:sz w:val="28"/>
        </w:rPr>
        <w:t>154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тест-функции) и линтером сквозной связности (</w:t>
      </w:r>
      <w:r>
        <w:rPr>
          <w:rFonts w:ascii="Courier New" w:hAnsi="Courier New"/>
          <w:b w:val="0"/>
          <w:i w:val="0"/>
          <w:color w:val="7B0000"/>
          <w:sz w:val="22"/>
        </w:rPr>
        <w:t>check_tp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Точностные характеристики прошли внешнюю сверку с натурными LEO-PNT данными (CentiSpace,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§45.3).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Комплекс является инструментом проектирования и обоснования: приведённые величины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выход верифицированных моделей, а не натурные измерения; перевод ключевых характеристик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статус «подтверждено» предусмотрен на демонстраторах Фаз 0–1 (§67.4).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обоснования характеристик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доказанности, чтобы не смешивать расчёт и натуру):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Что относится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Стандартные формулы (внешне доказаны)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орбитальная механика, FSPL, Доплер, IF-комбинация, Клобухар, Саастамойнен, девиация Аллана, DOP, релятивистика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применены корректно, проверены численно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Выход моделей (воспроизводимо)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геометрия/PDOP/N_vis, бюджеты UERE и линий, часовая цепочка, сигнал/коды, надёжность, LCC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при заданных допущениях, не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натурно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PPP-сходимость, N_vis, порядок позиц. точности (CentiSpace, §45.3)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согласуется с опубликованными натурными данными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Допущения (к подтверждению)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5 см / фазовая ISL (К-2), полоса Сервиса Б (К-4)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Ф0–1 / выделение ресурса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Элементная база часов (CSAC, space-Rb) — </w:t>
      </w: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ШИВА НЕТВОРК</w:t>
      </w:r>
      <w:r>
        <w:rPr>
          <w:rFonts w:ascii="Times New Roman" w:hAnsi="Times New Roman"/>
          <w:b w:val="0"/>
          <w:i w:val="0"/>
          <w:color w:val="000000"/>
          <w:sz w:val="28"/>
        </w:rPr>
        <w:t>; ТТХ заданы,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лётная квалификация на Ф0–1 (закрытие К-1).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бортовой стандарт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Бортовой стандарт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атомный CSAC</w:t>
      </w:r>
      <w:r>
        <w:rPr>
          <w:rFonts w:ascii="Times New Roman" w:hAnsi="Times New Roman"/>
          <w:b w:val="0"/>
          <w:i w:val="0"/>
          <w:color w:val="000000"/>
          <w:sz w:val="28"/>
        </w:rPr>
        <w:t>: его частота задаётся CPT-резонансом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цезии-133, поэтому радиационный уход внутреннего кварцевого генератора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атомным репером и не определяет долговременную стабильность.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Связывающим радиационным ограничением является TID </w:t>
      </w:r>
      <w:r>
        <w:rPr>
          <w:rFonts w:ascii="Times New Roman" w:hAnsi="Times New Roman"/>
          <w:b/>
          <w:i w:val="0"/>
          <w:color w:val="000000"/>
          <w:sz w:val="28"/>
        </w:rPr>
        <w:t>физического пакета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(предел 20 крад, удержан экраном 7 мм Al-экв., §32.2), а не дрейф кварца.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иллюстрации — частотный уход </w:t>
      </w:r>
      <w:r>
        <w:rPr>
          <w:rFonts w:ascii="Times New Roman" w:hAnsi="Times New Roman"/>
          <w:b/>
          <w:i w:val="0"/>
          <w:color w:val="000000"/>
          <w:sz w:val="28"/>
        </w:rPr>
        <w:t>недисциплинированного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кварца (SC-cut) под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радиацией, обосновывающий выбор атомного (самокорректирующегося) стандарта: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TID, α_rad ≈ 10⁻¹⁰ /кРад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экране 3 мм и TID = 125 кРад уход достигал бы ≈ 12,5 ppb за 7 лет — в атомном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этот уход снимается привязкой к CPT-реперу. Та же оценка применима к наземным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кварцевым узлам SHIWA TIME (§28.4), которые радиации не подвержены.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недисциплинированного кварца (обоснование атомного стандарта)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8,6%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8,6%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26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≈ 30 спутников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год (полная группировка ÷ MTBF ≈ 10 лет), начиная с 4-го года миссии. За жизненный цикл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≈ 64 КА за 7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/>
          <w:i w:val="0"/>
          <w:color w:val="000000"/>
          <w:sz w:val="28"/>
        </w:rPr>
        <w:t>≈ 302 КА за 15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фактически одно полное обновление группировки.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восполнения учтена отдельной статьёй LCC (§51.3): 11,1 млрд ₽ за 7 лет и 51,9 млрд 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15 лет (доминирующая статья на 15-летнем горизонте). Рост ресурса КА (резервирование,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скрининг ЭКБ) — прямой рычаг снижения как числа замен, так и LCC.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Потоковое (Sankey) представление дисперсии UERE и временно́й цепочки синхронизации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наглядно видно доминирование эфемерид/тропосферы в UERE и ISL-шума во временно́м бюджете: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2425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key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Sankey бюджета UERE и временно́й цепочки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~1,3–2,0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(LCC 7–15 лет, §51)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Конкурентоспособный бюджет (LCC ≈ </w:t>
      </w:r>
      <w:r>
        <w:rPr>
          <w:rFonts w:ascii="Courier New" w:hAnsi="Courier New"/>
          <w:b w:val="0"/>
          <w:i w:val="0"/>
          <w:color w:val="000000"/>
          <w:sz w:val="28"/>
        </w:rPr>
        <w:t>1,26 млрд за 7 лет /</w:t>
      </w:r>
      <w:r>
        <w:rPr>
          <w:rFonts w:ascii="Times New Roman" w:hAnsi="Times New Roman"/>
          <w:b w:val="0"/>
          <w:i w:val="0"/>
          <w:color w:val="000000"/>
          <w:sz w:val="28"/>
        </w:rPr>
        <w:t>2,0 млрд за 15 лет с восполнением, vs $10B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 лепестковой диаграмме различаются две оси точности: «</w:t>
      </w:r>
      <w:r>
        <w:rPr>
          <w:rFonts w:ascii="Times New Roman" w:hAnsi="Times New Roman"/>
          <w:b/>
          <w:i/>
          <w:color w:val="555555"/>
          <w:sz w:val="28"/>
        </w:rPr>
        <w:t>Точность дальности (1/UERE)</w:t>
      </w:r>
      <w:r>
        <w:rPr>
          <w:rFonts w:ascii="Times New Roman" w:hAnsi="Times New Roman"/>
          <w:b w:val="0"/>
          <w:i/>
          <w:color w:val="555555"/>
          <w:sz w:val="28"/>
        </w:rPr>
        <w:t>» —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одной псевдодальности, где АВРОРА (0,7 м) уступает GPS/Galileo и сопоставима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ГЛОНАСС; и «</w:t>
      </w:r>
      <w:r>
        <w:rPr>
          <w:rFonts w:ascii="Times New Roman" w:hAnsi="Times New Roman"/>
          <w:b/>
          <w:i/>
          <w:color w:val="555555"/>
          <w:sz w:val="28"/>
        </w:rPr>
        <w:t>Точность позиц. (CEP, комбин.)</w:t>
      </w:r>
      <w:r>
        <w:rPr>
          <w:rFonts w:ascii="Times New Roman" w:hAnsi="Times New Roman"/>
          <w:b w:val="0"/>
          <w:i/>
          <w:color w:val="555555"/>
          <w:sz w:val="28"/>
        </w:rPr>
        <w:t>» — итоговая горизонтальная точность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пользователя в рабочем (комбинированном с ГЛОНАСС) режиме, где АВРОРА (CEP ≈ 1 м, §8.6)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находится в числе лучших за счёт геометрии. Преимущество системы — не точность одной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дальности, а геометрия комбинированного режима, скорость PPP-сходимости, Арктика 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помехозащита (§37.2).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41.4  Китайские LEO-PNT инициативы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Помимо штатной MEO-системы BeiDou-3, в КНР параллельно развивается несколько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низкоорбитальных группировок, способных нести функцию навигации,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синхронизации. Их следует учитывать как технологический ориентир и потенциальную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конкурентную среду. Сведения ниже приведены </w:t>
      </w:r>
      <w:r>
        <w:rPr>
          <w:rFonts w:ascii="Times New Roman" w:hAnsi="Times New Roman"/>
          <w:b/>
          <w:i w:val="0"/>
          <w:color w:val="000000"/>
          <w:sz w:val="28"/>
        </w:rPr>
        <w:t>по открытым публикациям, статус на 2026 год</w:t>
      </w:r>
      <w:r>
        <w:rPr>
          <w:rFonts w:ascii="Times New Roman" w:hAnsi="Times New Roman"/>
          <w:b w:val="0"/>
          <w:i w:val="0"/>
          <w:color w:val="000000"/>
          <w:sz w:val="28"/>
        </w:rPr>
        <w:t>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точные тактико-технические характеристики у операторов закрыты, поэтому значения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носят ориентировочный характер.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Оператор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 на орбите / план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Назначение, PNT-роль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CentiSpace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(未来导航)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Beijing Future Navigation + ЦЭТК-29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975 км, 55°/30°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эксперим. КА (с 2018) / ≈ 160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Целевое навигационное усиление — прямой аналог концепции АВРОРА.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Цель: точность &lt; 10 см, сходимость PPP ≈ 1 мин. Применяется методика CCST-подавления самопомех (одновременный приём сигналов GNSS и передача усиливающего сигнала в той же полосе).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Geespace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(GEESATCOM)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Geely / Geespace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км, 50°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(Фаза I) / 72 → ≈ 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Связь и IoT с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дополнительной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службой высокоточного позиционирования (сантиметровый уровень через наземное усиление) для автономного транспорта.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Qianfan / 千帆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(G60)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SSST / Spacesail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1160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180 (05.2026) / ≈ 14 000–15 000 (2030)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Широкополосный интернет (аналог Starlink); навигация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функция, не основная.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Guowang / 国网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China SatNet (гос.)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500 / 600–1145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десятков / по заявке МСЭ 12 992; цель 400 к 2027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Государственная широкополосная мегагруппировка; PNT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для АВРОРА.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Прямым функциональным аналогом концепции АВРОРА (выделенная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LEO-система навигационного усиления) среди китайских проектов является только </w:t>
      </w: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 целевая точность (сантиметры в режиме PPP), быстрая сходимость и принцип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работы в навигационных полосах. Geespace реализует позиционирование как добавочную службу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сети связи; Qianfan и Guowang — широкополосные мегагруппировки, у которых PNT остаётся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потенциальной, технически не подтверждённой функцией. Это подтверждает обоснованность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выбранной для АВРОРА архитектуры специализированной навигационной LEO-группировки, 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попутной нагрузки на сети связи. Ключевые суверенные отличия АВРОРА сохраняются: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75° (Арктика), датум ПЗ-90.11, аутентификация на ГОСТ-криптографии,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российская элементная и наземная база.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hina_leo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Китайские LEO-PNT инициативы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45.3  Внешняя валидация по натурным LEO-PNT данным (CENTISPACE)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Чтобы перевести точностные характеристики из категории «расчётная оценка проекта»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категорию «согласуется с независимыми натурными измерениями», предсказания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сопоставлены с **опубликованными (рецензируемыми) результатами действующих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LEO-PNT систем**. Главный референс — китайская система навигационного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(Beijing Future Navigation; эксперим. КА на ~975 км с 2018 г.) — наиболее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близкий аналог по орбите и назначению; дополнительно — натурно-модельные исследования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LEO-augmented PPP (LeGNSS) и обзор LEO-PNT.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 методе (важно).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Это </w:t>
      </w:r>
      <w:r>
        <w:rPr>
          <w:rFonts w:ascii="Times New Roman" w:hAnsi="Times New Roman"/>
          <w:b/>
          <w:i w:val="0"/>
          <w:color w:val="000000"/>
          <w:sz w:val="28"/>
        </w:rPr>
        <w:t>не ассимиляция «сырых» наблюдений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(первичных измерений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в открытом доступе нет), а сравнение предсказаний моделей АВРОРА (§36, §37,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§46, сквозной конвейер </w:t>
      </w:r>
      <w:r>
        <w:rPr>
          <w:rFonts w:ascii="Courier New" w:hAnsi="Courier New"/>
          <w:b w:val="0"/>
          <w:i w:val="0"/>
          <w:color w:val="7B0000"/>
          <w:sz w:val="22"/>
        </w:rPr>
        <w:t>e2e_pipeline.py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 с </w:t>
      </w:r>
      <w:r>
        <w:rPr>
          <w:rFonts w:ascii="Times New Roman" w:hAnsi="Times New Roman"/>
          <w:b/>
          <w:i w:val="0"/>
          <w:color w:val="000000"/>
          <w:sz w:val="28"/>
        </w:rPr>
        <w:t>опубликованными натурными метриками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сопоставимых систем. Совпадение в пределах разброса литературы трактуется как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«подтверждено независимыми данными», систематический оптимизм — помечается явно.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(модель)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Натурно (опубл.)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Вердикт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орбиты,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(§4.2)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~975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(сопоставимо)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сходимости PPP,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(§36)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~1; LeGNSS 1–3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видимых КА (LEO, ~300 КА)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7–22, ср. 14 (§46)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обзор LEO-PNT 8–20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Гор. точность CEP95 после сходимости,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21–36 (e2e, PPP)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цель &lt; 10; реал. см–дм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 (консервативно)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Радиальная ошибка POD,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5–19 (§47)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реал. дм-уровень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Оптимистично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(К-2)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одной псевдодальн. (dual),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 (§37.2)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LEO-усиления дм–м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Итог: подтверждено 3 / правдоподобно 2 / оптимистично 1.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Ключевое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системы — </w:t>
      </w:r>
      <w:r>
        <w:rPr>
          <w:rFonts w:ascii="Times New Roman" w:hAnsi="Times New Roman"/>
          <w:b/>
          <w:i w:val="0"/>
          <w:color w:val="000000"/>
          <w:sz w:val="28"/>
        </w:rPr>
        <w:t>ускоренная сходимость PPP (1–3 мин)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подтверждается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и LeGNSS (LEO-усиление снижает сходимость с ~30 мин у GNSS до ~1–3 мин);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(N_vis) и порядок позиционной точности также согласуются, причём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консервативнее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натурной цели CENTISPACE (&lt; 10 см) — модель не завышает. Единственная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систематически оптимистичная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 — радиальная POD (5 см против натурного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дм-уровня у LEO): это прямо соответствует замечанию К-2 аудита и требует подтверждения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фазовой ISL-дальнометрией на демонстраторах Фаз 0–1.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aurora/pnt/leo_pnt_validation.py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(CLI </w:t>
      </w:r>
      <w:r>
        <w:rPr>
          <w:rFonts w:ascii="Courier New" w:hAnsi="Courier New"/>
          <w:b w:val="0"/>
          <w:i w:val="0"/>
          <w:color w:val="7B0000"/>
          <w:sz w:val="22"/>
        </w:rPr>
        <w:t>leo-pnt-validation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548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o_pnt_validation_phase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Кросс-валидация АВРОРА с натурными LEO-PNT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 натурных данных: CENTISPACE — Remote Sensing/PMC10301026 (2023), GPS Solutions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10.1007/s10291-023-01589-0 (2023), Satellite Navigation s43020-024-00133-w (2024);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LeGNSS — Ge et al., Remote Sensing 10(7):984 (2018) [ист. 39]; обзор — Prol et al.,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IEEE Access 10 (2022) [ист. 38].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(49.159)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underbraceN_repl· C_repl_восполнение отказов (§51.3)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Демонстраторы Ф0–1 (12 × 16U CubeSat + rideshare)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9,1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 группировки (отказы КА, 7 лет: ≈ 64 КА × 172)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11 065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113 436 млн ₽ ≈ 113,4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1 260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(восполнение ≈ 302 КА = 51,9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183 024 млн ₽ ≈ 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2 034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изготовления 1 КА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(серия, с обучением: ≈100 платформа+ПН+ISL + 5 часы)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105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Удельная LCC на 1 КА (вся программа ÷ 300, 7 лет,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 восполнением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16 205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Важно различать </w:t>
      </w:r>
      <w:r>
        <w:rPr>
          <w:rFonts w:ascii="Times New Roman" w:hAnsi="Times New Roman"/>
          <w:b/>
          <w:i w:val="0"/>
          <w:color w:val="000000"/>
          <w:sz w:val="28"/>
        </w:rPr>
        <w:t>цену изготовления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(серийная, с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≈ 105 млн ₽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что нормально для 140-кг нав-смолсата с атомными часами и ISL) и </w:t>
      </w:r>
      <w:r>
        <w:rPr>
          <w:rFonts w:ascii="Times New Roman" w:hAnsi="Times New Roman"/>
          <w:b/>
          <w:i w:val="0"/>
          <w:color w:val="000000"/>
          <w:sz w:val="28"/>
        </w:rPr>
        <w:t>удельную LCC на 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(378 млн ₽) — последняя включает разработку, запуск, наземный сегмент, </w:t>
      </w:r>
      <w:r>
        <w:rPr>
          <w:rFonts w:ascii="Times New Roman" w:hAnsi="Times New Roman"/>
          <w:b/>
          <w:i w:val="0"/>
          <w:color w:val="000000"/>
          <w:sz w:val="28"/>
        </w:rPr>
        <w:t>восполнение отказов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7 лет эксплуатации, размазанные на 300 аппаратов, и не является ценой постройки одного КА. Для сравнения: программы GPS/Galileo стоят </w:t>
      </w:r>
      <w:r>
        <w:rPr>
          <w:rFonts w:ascii="Courier New" w:hAnsi="Courier New"/>
          <w:b w:val="0"/>
          <w:i w:val="0"/>
          <w:color w:val="000000"/>
          <w:sz w:val="28"/>
        </w:rPr>
        <w:t>10+ млрд — АВРОРА (≈ 113 млрд ₽ ≈</w:t>
      </w:r>
      <w:r>
        <w:rPr>
          <w:rFonts w:ascii="Times New Roman" w:hAnsi="Times New Roman"/>
          <w:b w:val="0"/>
          <w:i w:val="0"/>
          <w:color w:val="000000"/>
          <w:sz w:val="28"/>
        </w:rPr>
        <w:t>1,26 млрд за 7 лет) дешевле на порядок за счёт малых КА, отечественных часов и серийности.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51.3  Восполнение группировки (согласование с надёжностью, §35)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Низкоорбитальная группировка из малых КА по своей природе </w:t>
      </w:r>
      <w:r>
        <w:rPr>
          <w:rFonts w:ascii="Times New Roman" w:hAnsi="Times New Roman"/>
          <w:b/>
          <w:i w:val="0"/>
          <w:color w:val="000000"/>
          <w:sz w:val="28"/>
        </w:rPr>
        <w:t>расходуемая</w:t>
      </w:r>
      <w:r>
        <w:rPr>
          <w:rFonts w:ascii="Times New Roman" w:hAnsi="Times New Roman"/>
          <w:b w:val="0"/>
          <w:i w:val="0"/>
          <w:color w:val="000000"/>
          <w:sz w:val="28"/>
        </w:rPr>
        <w:t>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эффективном MTBF КА ≈ 10,1 года (горячее резервирование часов и вычислителя,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R(7 лет) ≈ 50 %, §35.3) полная группировка из 300 КА теряет </w:t>
      </w:r>
      <w:r>
        <w:rPr>
          <w:rFonts w:ascii="Times New Roman" w:hAnsi="Times New Roman"/>
          <w:b/>
          <w:i w:val="0"/>
          <w:color w:val="000000"/>
          <w:sz w:val="28"/>
        </w:rPr>
        <w:t>≈ 30 КА в год</w:t>
      </w:r>
      <w:r>
        <w:rPr>
          <w:rFonts w:ascii="Times New Roman" w:hAnsi="Times New Roman"/>
          <w:b w:val="0"/>
          <w:i w:val="0"/>
          <w:color w:val="000000"/>
          <w:sz w:val="28"/>
        </w:rPr>
        <w:t>, что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 непрерывного восполнения — как у Starlink/OneWeb. Ожидаемое число замещающих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оценивается как наработка группировки (КА·лет, по графику ввода §30.2), делённая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N_repl(Y) = (∫_0^Y N_акт(t) dt/MTBF_КА), C_repl = N_repl·(C_floor + C_пуск/КА)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Замещающие КА строятся на «полке» кривой обучения (серийный минимум ≈ 82 млн ₽ + часы)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 выводятся по средней пусковой экономике серии (≈ 90 млн ₽/КА) → ≈ </w:t>
      </w:r>
      <w:r>
        <w:rPr>
          <w:rFonts w:ascii="Times New Roman" w:hAnsi="Times New Roman"/>
          <w:b/>
          <w:i w:val="0"/>
          <w:color w:val="000000"/>
          <w:sz w:val="28"/>
        </w:rPr>
        <w:t>172 млн ₽/КА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Окно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Наработка, КА·лет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Замещающих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в LCC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(развёртывание)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11,1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лет (с эксплуатацией FOC)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51,9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(закрытие замечания К-3 аудита).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Восполнение — **доминирующая статья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горизонте 15 лет**: 51,9 млрд ₽ превышают стоимость первичной серии 300 КА (≈ 30 млрд ₽),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поскольку за 15 лет группировка фактически обновляется один раз. OPEX наземного сегмента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(40 $M/год) это </w:t>
      </w:r>
      <w:r>
        <w:rPr>
          <w:rFonts w:ascii="Times New Roman" w:hAnsi="Times New Roman"/>
          <w:b/>
          <w:i w:val="0"/>
          <w:color w:val="000000"/>
          <w:sz w:val="28"/>
        </w:rPr>
        <w:t>не покрывает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восполнение есть производство и выведение, поэтому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вынесено отдельной статьёй. Чувствительность к MTBF высока (см. торнадо §51.2):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 7 → 20 лет восполнение на 15 лет меняется 74,8 → 26,2 млрд ₽, а LCC-15 — 206 → 157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Поэтому </w:t>
      </w:r>
      <w:r>
        <w:rPr>
          <w:rFonts w:ascii="Times New Roman" w:hAnsi="Times New Roman"/>
          <w:b/>
          <w:i w:val="0"/>
          <w:color w:val="000000"/>
          <w:sz w:val="28"/>
        </w:rPr>
        <w:t>рост ресурса КА (резервирование, скрининг, ИЭКБ) — прямой рычаг снижения LCC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 не только надёжности. Это устраняет прежнее расхождение между §35.3 (≈ 30 отказов/год)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§51, где восполнение ранее не учитывалось.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Удешевление демонстрационной фазы (Ф0–1).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Демонстраторы Фаз 0–1 (12 КА) строятся не как полноразмерные операционные аппараты, а на </w:t>
      </w:r>
      <w:r>
        <w:rPr>
          <w:rFonts w:ascii="Times New Roman" w:hAnsi="Times New Roman"/>
          <w:b/>
          <w:i w:val="0"/>
          <w:color w:val="000000"/>
          <w:sz w:val="28"/>
        </w:rPr>
        <w:t>дешёвой 16U CubeSat-платформе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(СПУТНИКС/Геоскан, §66) с урезанной полезной нагрузкой (один сигнальный канал, один CSAC) и </w:t>
      </w:r>
      <w:r>
        <w:rPr>
          <w:rFonts w:ascii="Times New Roman" w:hAnsi="Times New Roman"/>
          <w:b/>
          <w:i w:val="0"/>
          <w:color w:val="000000"/>
          <w:sz w:val="28"/>
        </w:rPr>
        <w:t>попутным (rideshare) запуском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≈ 820 млн ₽ против ≈ 2 470 млн ₽, если бы те же 12 аппаратов делались полноразмерными 140-кг КА на крутом участке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в ≈ 3 раза дешевле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(экономия ≈ 1,65 млрд ₽). Это и удешевляет старт, и создаёт </w:t>
      </w:r>
      <w:r>
        <w:rPr>
          <w:rFonts w:ascii="Times New Roman" w:hAnsi="Times New Roman"/>
          <w:b/>
          <w:i w:val="0"/>
          <w:color w:val="000000"/>
          <w:sz w:val="28"/>
        </w:rPr>
        <w:t>дешёвый рубеж лётной проверки концепции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(сигнал, ISL, дисциплина часов) до выделения средств на серию 300 КА (≈ 30 млрд ₽) — снижение программного риска.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51.4  Сценарии охвата: глобальный (300) и региональный РФ+СНГ (180)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Группировка масштабируема. Базовый сценарий — </w:t>
      </w:r>
      <w:r>
        <w:rPr>
          <w:rFonts w:ascii="Times New Roman" w:hAnsi="Times New Roman"/>
          <w:b/>
          <w:i w:val="0"/>
          <w:color w:val="000000"/>
          <w:sz w:val="28"/>
        </w:rPr>
        <w:t>глобальный (300 КА)</w:t>
      </w:r>
      <w:r>
        <w:rPr>
          <w:rFonts w:ascii="Times New Roman" w:hAnsi="Times New Roman"/>
          <w:b w:val="0"/>
          <w:i w:val="0"/>
          <w:color w:val="000000"/>
          <w:sz w:val="28"/>
        </w:rPr>
        <w:t>, Фаза 4. Для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суверенных задач РФ возможен </w:t>
      </w:r>
      <w:r>
        <w:rPr>
          <w:rFonts w:ascii="Times New Roman" w:hAnsi="Times New Roman"/>
          <w:b/>
          <w:i w:val="0"/>
          <w:color w:val="000000"/>
          <w:sz w:val="28"/>
        </w:rPr>
        <w:t>региональный сценарий РФ+СНГ (180 КА)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завершение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Фазе 3, что даёт </w:t>
      </w:r>
      <w:r>
        <w:rPr>
          <w:rFonts w:ascii="Times New Roman" w:hAnsi="Times New Roman"/>
          <w:b/>
          <w:i w:val="0"/>
          <w:color w:val="000000"/>
          <w:sz w:val="28"/>
        </w:rPr>
        <w:t>100% покрытие РФ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(§5.3) при существенно меньшей стоимости. До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он достраивается Фазой 4 без переделки (модель </w:t>
      </w:r>
      <w:r>
        <w:rPr>
          <w:rFonts w:ascii="Courier New" w:hAnsi="Courier New"/>
          <w:b w:val="0"/>
          <w:i w:val="0"/>
          <w:color w:val="7B0000"/>
          <w:sz w:val="22"/>
        </w:rPr>
        <w:t>aurora/pnt/cost_model.py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7B0000"/>
          <w:sz w:val="22"/>
        </w:rPr>
        <w:t>scenario_lcc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Глобальный (300)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Региональный РФ+СНГ (180)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Охват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глобально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РФ+СНГ (не глобально)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КА (с обучением)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29,9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20,1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Пуски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16,2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113,4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$1,26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92,9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$1,03 млрд)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147,6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Удельная LCC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516 млн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vs глобального (7 / 15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−20 / −35 млрд 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Региональный сценарий </w:t>
      </w:r>
      <w:r>
        <w:rPr>
          <w:rFonts w:ascii="Times New Roman" w:hAnsi="Times New Roman"/>
          <w:b/>
          <w:i w:val="0"/>
          <w:color w:val="000000"/>
          <w:sz w:val="28"/>
        </w:rPr>
        <w:t>дешевле в сумме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(−20 млрд за 7 лет), но **дороже в пересчёте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 КА** (516 против 378 млн ₽): постоянные затраты (NRE, наземный сегмент, OPEX) распределяются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меньшее число аппаратов. Выбор сценария — управленческое решение «суверенное покрытие РФ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дешевле / глобальный сервис дороже»; оба варианта используют единый борт, наземку и часы.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 интерфейсы синергии (по уровням):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Интерфейс АВРОРА ↔ «Гонец» / «Сфера»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Эффект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/ частота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межгрупповой ISL-перенос суверенной шкалы UTC(SU) от ансамбля АВРОРА (§28.6) на КА «Гонца» (TWSTT, §8.3)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«Гонец» получает суверенное время/частоту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независимо от GNSS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; единая шкала «Сферы», устойчивая к подавлению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Данные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двусторонний канал «Гонца» (M2M/IoT) как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backhaul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SSR/PPP-RTK-поправок (§44), A-GNSS (§27.3) и аутентификации времени (§16)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замыкает односторонность нав-сигнала АВРОРА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 строительства нового канала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шина «Гонец-М1» / перспективного аппарата (~280 кг) как носитель нав-ПН (hosted/совмещённая, §19)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малоспутниковая платформа → снижение риска борта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общий наземный комплекс, станции, каналы доведения (§54)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CAPEX/OPEX, единая эксплуатация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Выведение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кластерный/попутный вывод в рамках «Сферы» (§53)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снижение пусковых затрат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Стратегически АВРОРА и «Гонец» образуют под «Сферой» **взаимодополняющую пару «навигация + связь»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единой LEO-инфраструктуре**: «Гонец» вносит проверенную платформу, наземный комплекс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двусторонний канал данных; АВРОРА — суверенное PNT и время для всей многоорбитальной программы.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Перенос суверенной шкалы по межгрупповому ISL (расширение SHIWA TIME-Space, §28.6) — ключевой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дифференциатор: время «Сферы» становится независимым от зарубежных ГНСС.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Оба стандарта — собственная разработка ООО «ШИВА НЕТВОРК»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(якоря) и чип-цезий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(все КА). Внешней зависимости по часам нет. ТТХ зафиксированы (§8, Таблица 19); лётная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67.5  План закрытия замечаний независимой приёмки (К-1…К-5)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Замечание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часов (CSAC)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собственная разработка ШИВА НЕТВОРК (как Quantum-18); инженерный образец → лётная квалификация на демонстраторах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/ фазовая ISL-дальнометрия — заявочная точность (5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(1) лётная отработка фазовой ISL на Ф0–1: измерить реальную точность дальности и SISRE; (2) POD-фильтр с полной силовой моделью (J2–J6, drag, SRP) + ISL + наземка на Ф2; (3) подтвердить дм→см. До подтверждения в бюджет UERE заложена транслируемая эфемерида 0,45 м (§37.3) — система не зависит от оптимистичной оценки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Экономика восполнения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учтено отдельной статьёй LCC (§51.3)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Спектр Сервиса Б не выделен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(1) API в МСЭ (через РКН) и заявка в ГКРЧ на выделенную L-полосу — 2026; (2) координация МСЭ + экспериментальное РЭС на демо — 2027–2029; ведущий — Роскосмос/РКН.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Резерв: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при невыделении полосы Сервис Б работает в ведомственном/ограниченном режиме, а Сервис А (RNSS, §43) от этого не зависит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2026–2029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Конфигурационная дисциплина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линтер сквозной связности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check_tp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, подключён Stop-хуком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47) </w:t>
      </w:r>
      <w:r>
        <w:rPr>
          <w:rFonts w:ascii="Times New Roman" w:hAnsi="Times New Roman"/>
          <w:b w:val="0"/>
          <w:i w:val="0"/>
          <w:color w:val="000000"/>
          <w:sz w:val="28"/>
        </w:rPr>
        <w:t>Performance Evaluation of CENTISPACE Navigation Augmentation Experiment Satellites. *Remote Sensing* (2023). PMC10301026.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48) </w:t>
      </w:r>
      <w:r>
        <w:rPr>
          <w:rFonts w:ascii="Times New Roman" w:hAnsi="Times New Roman"/>
          <w:b w:val="0"/>
          <w:i w:val="0"/>
          <w:color w:val="000000"/>
          <w:sz w:val="28"/>
        </w:rPr>
        <w:t>LEO augmented precise point positioning using real observations from two CENTISPACE™ experimental satellites. *GPS Solutions*, 27 (2023). DOI 10.1007/s10291-023-01589-0.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49) </w:t>
      </w:r>
      <w:r>
        <w:rPr>
          <w:rFonts w:ascii="Times New Roman" w:hAnsi="Times New Roman"/>
          <w:b w:val="0"/>
          <w:i w:val="0"/>
          <w:color w:val="000000"/>
          <w:sz w:val="28"/>
        </w:rPr>
        <w:t>Demand and key technology for a LEO constellation as augmentation of satellite navigation systems. *Satellite Navigation*, 5 (2024). DOI 10.1186/s43020-024-00133-w.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НИР «Сияние»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(основание — приказ ООО «ШИВА НЕТВОРК» № 11/2026); система </w:t>
      </w:r>
      <w:r>
        <w:rPr>
          <w:rFonts w:ascii="Times New Roman" w:hAnsi="Times New Roman"/>
          <w:b/>
          <w:i w:val="0"/>
          <w:color w:val="000000"/>
          <w:sz w:val="28"/>
        </w:rPr>
        <w:t>АВРОРА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Relationship Id="rId201" Type="http://schemas.openxmlformats.org/officeDocument/2006/relationships/image" Target="media/image192.png"/><Relationship Id="rId202" Type="http://schemas.openxmlformats.org/officeDocument/2006/relationships/image" Target="media/image19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