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3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Основание: приказ ООО «ШИВА НЕТВОРК» № 11/2026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36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0"/>
        </w:rPr>
        <w:t>НАУЧНО-ИССЛЕДОВАТЕЛЬСКАЯ РАБОТА «СИЯНИЕ»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Шифр НИР: «Сияние».  Документ: СИЯНИЕ-ТП-001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68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184 рис., 132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научно-исследовательской работы «Сияние» (основание — приказ ООО «ШИВА НЕТВОРК» № 11/2026)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концепция: спутник, сигнал, потребители,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по четырём классам потребителей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MEO-ГНСС (ГЛОНАСС):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и данных от атомных часов до навигационного решения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3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37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9327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Спектр рекомендованного сигнала АВРОРА: ПСД каналов L1 (BOC/TMBOC) и L5 (BPSK(10))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Rb (Quantum-18, RAFS-класс)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 элементной базы (см. OP-06, §67.4).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Космический рубидий </w:t>
      </w:r>
      <w:r>
        <w:rPr>
          <w:rFonts w:ascii="Times New Roman" w:hAnsi="Times New Roman"/>
          <w:b/>
          <w:i w:val="0"/>
          <w:color w:val="000000"/>
          <w:sz w:val="28"/>
        </w:rPr>
        <w:t>Quantum-18 разрабатывается ООО «ШИВА НЕТВОРК» в параллельном проекте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(собственная разработка стандарта частоты). Терминальный </w:t>
      </w:r>
      <w:r>
        <w:rPr>
          <w:rFonts w:ascii="Times New Roman" w:hAnsi="Times New Roman"/>
          <w:b/>
          <w:i w:val="0"/>
          <w:color w:val="000000"/>
          <w:sz w:val="28"/>
        </w:rPr>
        <w:t>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ведётся </w:t>
      </w:r>
      <w:r>
        <w:rPr>
          <w:rFonts w:ascii="Times New Roman" w:hAnsi="Times New Roman"/>
          <w:b/>
          <w:i w:val="0"/>
          <w:color w:val="000000"/>
          <w:sz w:val="28"/>
        </w:rPr>
        <w:t>поиск партнёра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создания/локализации чип-масштабного цезиевого стандарта; до его готовности в проекте заданы граничные ТТХ (Таблица 19) и предусмотрена квалификация на демонстраторах Фаз 0–1 (§4.3, §66).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космического Rb (RAFS, </w:t>
      </w:r>
      <w:r>
        <w:rPr>
          <w:rFonts w:ascii="Courier New" w:hAnsi="Courier New"/>
          <w:b w:val="0"/>
          <w:i w:val="0"/>
          <w:color w:val="000000"/>
          <w:sz w:val="28"/>
        </w:rPr>
        <w:t>σ_0 = 5×10⁻¹²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τ=1 с)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5 × 10⁻¹² × √(100) × 10⁹ = 5 × 10⁻¹² × 10 × 10⁹ ≈ 50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5 × 10⁻¹² × √(3600) × 10⁹ = 5 × 10⁻¹² × 60 × 10⁹ ≈ 0,3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5×10⁻¹²/с,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259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1428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0273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9454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355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160 Вт·ч с разрядом 80% (128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≈ 11%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 (с учётом двухсервисной нагрузки, §18).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892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8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8823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Реализация и стандарты.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SHIWA TIME — не концепция, а действующий программный демон (ShiwaNetwork, язык Go): NTP/NTS (RFC 5905/8915), PTP IEEE 1588-2008/2019 с профилями ITU-T </w:t>
      </w:r>
      <w:r>
        <w:rPr>
          <w:rFonts w:ascii="Times New Roman" w:hAnsi="Times New Roman"/>
          <w:b/>
          <w:i w:val="0"/>
          <w:color w:val="000000"/>
          <w:sz w:val="28"/>
        </w:rPr>
        <w:t>G.8275.1/G.8275.2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PPS, GNSS/NMEA, управление аппаратными часами PHC, mesh PTP² на libp2p и иерархический gossip-консенсус. Холдовер и классы часов —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синхронизация частоты — по G.8261/G.8262. Опорные узлы строятся на открытой аппаратной платформе </w:t>
      </w:r>
      <w:r>
        <w:rPr>
          <w:rFonts w:ascii="Times New Roman" w:hAnsi="Times New Roman"/>
          <w:b/>
          <w:i w:val="0"/>
          <w:color w:val="000000"/>
          <w:sz w:val="28"/>
        </w:rPr>
        <w:t>Open TimeCard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(стандарт IEEE P3335, Time Card) с многоконстелляционным GNSS-приёмником (включая ГЛОНАСС), дисциплинируемым осциллятором (OCXO/CSAC) и миниатюрным атомным стандартом Microchip MAC/SA5x — той же линейкой CSAC, что и бортовой стандарт АВРОРА (§8). Это обеспечивает единую суверенную экосистему «космос — земля» на отечественной программно-аппаратной базе.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1,3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лучше одиночного space-Rb (5 × 10⁻¹²),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571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масштабирования на 300 КА применяется </w:t>
      </w:r>
      <w:r>
        <w:rPr>
          <w:rFonts w:ascii="Times New Roman" w:hAnsi="Times New Roman"/>
          <w:b/>
          <w:i w:val="0"/>
          <w:color w:val="000000"/>
          <w:sz w:val="28"/>
        </w:rPr>
        <w:t>иерархический gossip-консенсус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(реализован в ПО ShiwaNetwork): </w:t>
      </w:r>
      <w:r>
        <w:rPr>
          <w:rFonts w:ascii="Times New Roman" w:hAnsi="Times New Roman"/>
          <w:b/>
          <w:i w:val="0"/>
          <w:color w:val="000000"/>
          <w:sz w:val="28"/>
        </w:rPr>
        <w:t>Shard (≤ 64 узла) → Region → Global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сложностью O(N·log N) и отбраковкой выбросов по MAD. Первичный источник (PRTC — Primary Reference Time Clock) выбирается по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минимальному clockClass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(якоря space-Rb/H-мазер имеют наивысший приоритет). На орбите естественный шард — плоскость Walker (20 КА), регион — группа плоскостей, что согласуется с топологией ISL (§9).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Переход в холдовер описывается конечным автоматом (реализован в ПО ShiwaNetwork)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/>
          <w:b/>
          <w:i w:val="0"/>
          <w:color w:val="000000"/>
          <w:sz w:val="28"/>
        </w:rPr>
        <w:t>Locked → HoldoverInSpec → HoldoverOutOfSpec → Freerun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понижением класса часов </w:t>
      </w:r>
      <w:r>
        <w:rPr>
          <w:rFonts w:ascii="Times New Roman" w:hAnsi="Times New Roman"/>
          <w:b/>
          <w:i w:val="0"/>
          <w:color w:val="000000"/>
          <w:sz w:val="28"/>
        </w:rPr>
        <w:t>clockClass 6 → 7 → 140 → 248</w:t>
      </w:r>
      <w:r>
        <w:rPr>
          <w:rFonts w:ascii="Times New Roman" w:hAnsi="Times New Roman"/>
          <w:b w:val="0"/>
          <w:i w:val="0"/>
          <w:color w:val="000000"/>
          <w:sz w:val="28"/>
        </w:rPr>
        <w:t>. Класс транслируется в навигационном сообщении (§7) как флаг качества времени, позволяя потребителю выбирать источник по фактической прослеживаемости.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Модель ансамбля — </w:t>
      </w:r>
      <w:r>
        <w:rPr>
          <w:rFonts w:ascii="Courier New" w:hAnsi="Courier New"/>
          <w:b w:val="0"/>
          <w:i w:val="0"/>
          <w:color w:val="7B0000"/>
          <w:sz w:val="22"/>
        </w:rPr>
        <w:t>aurora/pnt/ensemble_timescale.py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ensemble-timescale</w:t>
      </w:r>
      <w:r>
        <w:rPr>
          <w:rFonts w:ascii="Times New Roman" w:hAnsi="Times New Roman"/>
          <w:b w:val="0"/>
          <w:i w:val="0"/>
          <w:color w:val="000000"/>
          <w:sz w:val="28"/>
        </w:rPr>
        <w:t>); количественная деградация при автономии —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Регулятор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CSAC) — ПИД/ПИ с anti-windup, опционально линейная регрессия и фильтр Калмана (как в ПО ShiwaNetwork):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28.7  Уникальность SHIWA TIME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SHIWA TIME (ШИВА НЕТВОРК) — не ещё одна реализация PTP, а самостоятельный класс технологии синхронизации с рядом отличий от известных протоколов: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Свойство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NTP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PTP (IEEE 1588)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White Rabbit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клиент-сервер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грандмастер–slave (BMCA)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мастер–slave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P2P-ансамбль, без грандмастера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Спец. оборудование сети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BC/TC-коммутаторы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(SyncE + спец. узлы)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(аппаратные метки NIC)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Симметрия тракта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калибруется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 требуется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(«счастливый пакет» / TWSTT)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Единая точка отказа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(сервер)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(грандмастер)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(самовосстановление ансамбля)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эталон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(составная шкала, §28.6)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сегмент (ISL)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(SHIWA TIME-Space)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Эволюция метрологии ПО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(обновление алгоритмов по всему парку)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Ключевые дифференциаторы: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Ансамбль без грандмастера.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Согласованная шкала строится совместно множеством узлов; отказ узла или GNSS не разрушает синхронизацию (в отличие от единого грандмастера PTP/NTP).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Толерантность к асимметрии.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«Счастливый пакет» (минимум односторонней задержки) на земле и TWSTT + детерминированная коррекция на ISL снимают доминирующий источник погрешности, не требуя симметрии тракта — этого нет в классическом PTP.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эталон времени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Технология строит составной эталон (как вычисляется UTC, но в реальном времени на сети/группировке, §28.6) — самостоятельная функция, недоступная PTP/NTP/White Rabbit.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Программно-эволюционируемая метрология.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Алгоритмы оценки неопределённости, фильтрации асимметрии и взвешивания узлов улучшаются обновлением ПО по всему парку — физический атомный эталон так не модернизируешь. Это уникальное свойство программной природы SHIWA TIME.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Единый протокол для асимметричных сред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наземные IP-сети (Ground) и межспутниковые линии (Space) с общим ядром ансамбля (§28.5).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консенсусом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подмену шкалы нужно навязать многим узлам, а не одному; служебный обмен защищён криптографией ГОСТ (§16).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Суверенность и отечественная база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действующий стек ШИВА НЕТВОРК (демон ShiwaTime, аппаратура Open TimeCard класса IEEE P3335, стандарт SA5x), независимый от зарубежных систем; основа национальной инфраструктуры времени, устойчивой к подавлению GNSS.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это означает, что синхронизация — не пассивный приём времени, а </w:t>
      </w:r>
      <w:r>
        <w:rPr>
          <w:rFonts w:ascii="Times New Roman" w:hAnsi="Times New Roman"/>
          <w:b/>
          <w:i w:val="0"/>
          <w:color w:val="000000"/>
          <w:sz w:val="28"/>
        </w:rPr>
        <w:t>активная распределённая технология</w:t>
      </w:r>
      <w:r>
        <w:rPr>
          <w:rFonts w:ascii="Times New Roman" w:hAnsi="Times New Roman"/>
          <w:b w:val="0"/>
          <w:i w:val="0"/>
          <w:color w:val="000000"/>
          <w:sz w:val="28"/>
        </w:rPr>
        <w:t>, дающая суверенный эталон на группировке (§28.6) и масштабную защищённую раздачу на земле (§28.4) поверх одного протокольного ядра.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0123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60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§7.3 техпроекта (TTFF):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8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(49.160)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изготовления 1 КА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(серия, с обучением: ≈100 платформа+ПН+ISL + 5 часы)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105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Удельная LCC на 1 КА (вся программа ÷ 300: NRE+запуск+земля+7 лет OPEX)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Важно различать </w:t>
      </w:r>
      <w:r>
        <w:rPr>
          <w:rFonts w:ascii="Times New Roman" w:hAnsi="Times New Roman"/>
          <w:b/>
          <w:i w:val="0"/>
          <w:color w:val="000000"/>
          <w:sz w:val="28"/>
        </w:rPr>
        <w:t>цену изготовления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(серийная, с кривой обучения — </w:t>
      </w:r>
      <w:r>
        <w:rPr>
          <w:rFonts w:ascii="Times New Roman" w:hAnsi="Times New Roman"/>
          <w:b/>
          <w:i w:val="0"/>
          <w:color w:val="000000"/>
          <w:sz w:val="28"/>
        </w:rPr>
        <w:t>≈ 105 млн ₽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что нормально для 140-кг нав-смолсата с атомными часами и ISL) и </w:t>
      </w:r>
      <w:r>
        <w:rPr>
          <w:rFonts w:ascii="Times New Roman" w:hAnsi="Times New Roman"/>
          <w:b/>
          <w:i w:val="0"/>
          <w:color w:val="000000"/>
          <w:sz w:val="28"/>
        </w:rPr>
        <w:t>удельную LCC на 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(339 млн ₽) — последняя включает разработку, запуск, наземный сегмент и 7 лет эксплуатации, размазанные на 300 аппаратов, и не является ценой постройки одного КА. Для сравнения: программы GPS/Galileo стоят </w:t>
      </w:r>
      <w:r>
        <w:rPr>
          <w:rFonts w:ascii="Courier New" w:hAnsi="Courier New"/>
          <w:b w:val="0"/>
          <w:i w:val="0"/>
          <w:color w:val="000000"/>
          <w:sz w:val="28"/>
        </w:rPr>
        <w:t>10+ млрд — АВРОРА (≈ 101,5 млрд ₽ ≈</w:t>
      </w:r>
      <w:r>
        <w:rPr>
          <w:rFonts w:ascii="Times New Roman" w:hAnsi="Times New Roman"/>
          <w:b w:val="0"/>
          <w:i w:val="0"/>
          <w:color w:val="000000"/>
          <w:sz w:val="28"/>
        </w:rPr>
        <w:t>1,1 млрд за 7 лет) дешевле на порядок за счёт малых КА, отечественных часов и серийности.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11279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9600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00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ensemble_timescale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2130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7083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7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3307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3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66.6  Синергия с системой «Гонец» и программой «Сфера»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Настоящий подраздел — инженерное предложение по кооперации, основанное на открытых данных о системе «Гонец» и программе «Сфера». Он </w:t>
      </w:r>
      <w:r>
        <w:rPr>
          <w:rFonts w:ascii="Times New Roman" w:hAnsi="Times New Roman"/>
          <w:b/>
          <w:i/>
          <w:color w:val="555555"/>
          <w:sz w:val="28"/>
        </w:rPr>
        <w:t>не опирается на закрытые требования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не является согласованным интерфейсом; конкретные параметры подлежат уточнению с операторами.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</w:t>
      </w:r>
      <w:r>
        <w:rPr>
          <w:rFonts w:ascii="Times New Roman" w:hAnsi="Times New Roman"/>
          <w:b/>
          <w:i w:val="0"/>
          <w:color w:val="000000"/>
          <w:sz w:val="28"/>
        </w:rPr>
        <w:t>«Гонец»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(АО «Спутниковая система «Гонец»», Роскосмос) — низкоорбитальная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связи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(персональная связь, сообщения, M2M/IoT). Вектор модернизации по открытым данным: переход на более низкую орбиту (~750 км), увеличение числа КА и глобальность покрытия в рамках многоорбитальной программы </w:t>
      </w:r>
      <w:r>
        <w:rPr>
          <w:rFonts w:ascii="Times New Roman" w:hAnsi="Times New Roman"/>
          <w:b/>
          <w:i w:val="0"/>
          <w:color w:val="000000"/>
          <w:sz w:val="28"/>
        </w:rPr>
        <w:t>«Сфера»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«Гонец» — связной, а не навигационный сервис; именно поэтому он </w:t>
      </w:r>
      <w:r>
        <w:rPr>
          <w:rFonts w:ascii="Times New Roman" w:hAnsi="Times New Roman"/>
          <w:b/>
          <w:i w:val="0"/>
          <w:color w:val="000000"/>
          <w:sz w:val="28"/>
        </w:rPr>
        <w:t>дополняет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АВРОРА, а не конкурирует с ней.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Взаимное дополнение (что даёт каждая сторона):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даёт «Гонцу»/«Сфере»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«Гонец»/«Сфера» даёт АВРОРА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Суверенное PNT и синхронизацию сети (SHIWA TIME, §28) — снижение зависимости борта и наземки от 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Двусторонний канал данных для доставки коррекций (отсутствует у одностороннего нав-сигнала)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время/частоту для связной группировки (распределённый эталон, §28.6)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Доставка SSR/PPP-RTK-поправок (§44), A-GNSS-ассистирования (§27.3), целостности и аутентификации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и аутентификацию времени (ГОСТ-крипто, §16)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Проверенная российская LEO-платформа малого класса (шина Гонец-М1) под нав-ПН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Арктическое покрытие (наклонение 75°) в общую инфраструктуру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Готовый наземный связной комплекс и каналы M2M/IoT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Три модели сотрудничества: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Hosted payload (общая платформа).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Шина перспективного аппарата «Гонец»/«Сфера» (~280 кг) перекрывает массу АВРОРА (~140 кг, §19) и может нести навигационную ПН как попутную/совмещённую. Эффект: ускорение разработки борта, общая платформенная кооперация.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Гибрид данных (связь «Гонца» как backhaul для PNT).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Навигационный сигнал АВРОРА односторонний; PPP-RTK и время требуют двустороннего канала. «Гонец» доставляет коррекции/время/ассистирование пользователям, АВРОРА — суверенное PNT и синхронизацию сети «Гонца». Конкуренты (Xona) строят канал данных с нуля — здесь он уже есть.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Компонент «Сферы».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позиционируется как </w:t>
      </w:r>
      <w:r>
        <w:rPr>
          <w:rFonts w:ascii="Times New Roman" w:hAnsi="Times New Roman"/>
          <w:b/>
          <w:i w:val="0"/>
          <w:color w:val="000000"/>
          <w:sz w:val="28"/>
        </w:rPr>
        <w:t>навигационно-временно́й столп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многоорбитальной программы наряду со связным «Гонцом» и ДЗЗ: общий наземный сегмент, средства выведения, возможный общий ISL-бэкбон (перекрёстная поддержка, перенос времени между связной и навигационной группировками).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Привязка к фазам: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 синергии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 (демо)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Гибрид данных на наземном стенде: доставка тестовых SSR/времени через каналы «Гонца»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Hosted-payload-демонстратор нав-ПН на платформе «Гонец»/«Сфера»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Ф3–Ф4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Полноценный компонент «Сферы»: общий наземный сегмент, кооперация по выведению, ISL-перекрёст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Ограничения (честно):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орбиты различаются (~750–1500 км у «Гонца» против 1000 км у АВРОРА) — совместное использование плоскостей ограничено; синергия достигается на уровне платформы, данных и программы, а не общей орбиты. Параметры интерфейсов требуют согласования с оператором и закрепления в ОКР-документах (ICD).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space-Rb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Quantum-18 — собственная разработка ООО «ШИВА НЕТВОРК» в параллельном проекте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(стандарт частоты); терминальный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CSAC — ведётся поиск партнёра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для создания/локализации. Вне периметра настоящего ТП: ТТХ зафиксированы (§8, Таблица 19), квалификация — на демонстраторах Фаз 0–1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НИР «Сияние»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(основание — приказ ООО «ШИВА НЕТВОРК» № 11/2026); система </w:t>
      </w:r>
      <w:r>
        <w:rPr>
          <w:rFonts w:ascii="Times New Roman" w:hAnsi="Times New Roman"/>
          <w:b/>
          <w:i w:val="0"/>
          <w:color w:val="000000"/>
          <w:sz w:val="28"/>
        </w:rPr>
        <w:t>АВРОРА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