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184 рис., 129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 (L1/L5, 5/3 Вт) + Сервис Б (выдел. L, 30 Вт), антенны RHCP/изо-flux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160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АВРОРА LEO vs MEO-ГНСС (ГЛОНАСС):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ГЛОНАСС (MEO):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(ГЛОНАСС/GPS)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(20 200 км) при угле 30° → FSPL ≈ 183,6 дБ (разница по потерям трассы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(Сервис А, 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— запас до порога срыва слежения (помеха должна превысить полезный сигнал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по мощности). Преимущество по устойчивости к подавлению над MEO-ГНСС: Сервис А </w:t>
      </w:r>
      <w:r>
        <w:rPr>
          <w:rFonts w:ascii="Times New Roman" w:hAnsi="Times New Roman"/>
          <w:b/>
          <w:i w:val="0"/>
          <w:color w:val="000000"/>
          <w:sz w:val="28"/>
        </w:rPr>
        <w:t>+11 дБ (×12,6)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защищённый Сервис Б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>, §65.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 (относительно MEO-ГНСС как эталона):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MEO-ГНСС (ГЛОНАСС):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А (+11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13 Вт (×12,6)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Сервис Б (+23 дБ):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200 Вт (×200)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А (L1/L5, открытый)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Нав. ПН Сервис Б (выдел. L, 30 Вт, защищённый)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у MEO-ГНСС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Метод оценки задержки зависит от среды, поэтому SHIWA TIME реализуется как </w:t>
      </w:r>
      <w:r>
        <w:rPr>
          <w:rFonts w:ascii="Times New Roman" w:hAnsi="Times New Roman"/>
          <w:b/>
          <w:i w:val="0"/>
          <w:color w:val="000000"/>
          <w:sz w:val="28"/>
        </w:rPr>
        <w:t>семейство из двух вариантов с общим ядром распределённого ансамбля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(без единого грандмастера):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TIME-Ground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(§28.4) — для IP-сетей с переменными очередями: фильтр «счастливого пакета» (минимум по окну), асимметрия очередей.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SHIWA TIME-Space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(§28.6) — для межспутниковых линий: «счастливый пакет» неприменим (в радиоканале нет очередей), вместо него — двусторонний обмен метками (TWSTT, §8.3) с детерминированной коррекцией релятивистики/Саньяка по эфемеридам; так обрабатывается асимметрия ISL (движение КА, разные пути).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Оба варианта питают единую ансамблевую шкалу. На участке «спутник → одиночный приёмник» сохраняется прямая геометрическая коррекция LPT (§28.3); SHIWA TIME-Space работает на уровне группировки — формирует распределённый эталон (§28.6).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28.6  SHIWA TIME-Space: распределённый ансамблевый эталон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Развитие проекта — </w:t>
      </w:r>
      <w:r>
        <w:rPr>
          <w:rFonts w:ascii="Times New Roman" w:hAnsi="Times New Roman"/>
          <w:b/>
          <w:i w:val="0"/>
          <w:color w:val="000000"/>
          <w:sz w:val="28"/>
        </w:rPr>
        <w:t>распределённый (ансамблевый) эталон времени и частоты на группировке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Вместо дорогого атомного стандарта на каждом из 300 КА протокол SHIWA TIME-Space синхронизирует созвездие по ISL в единую </w:t>
      </w:r>
      <w:r>
        <w:rPr>
          <w:rFonts w:ascii="Times New Roman" w:hAnsi="Times New Roman"/>
          <w:b/>
          <w:i w:val="0"/>
          <w:color w:val="000000"/>
          <w:sz w:val="28"/>
        </w:rPr>
        <w:t>составную (ансамблевую) шкалу</w:t>
      </w:r>
      <w:r>
        <w:rPr>
          <w:rFonts w:ascii="Times New Roman" w:hAnsi="Times New Roman"/>
          <w:b w:val="0"/>
          <w:i w:val="0"/>
          <w:color w:val="000000"/>
          <w:sz w:val="28"/>
        </w:rPr>
        <w:t>: дешёвые чип-цезиевые CSAC-терминалы на всех КА дисциплинируются по немногим якорям space-Rb (~15) и наземному H-мазеру (§8). Это прямая аналогия тому, как международное время UTC вычисляется не по одним часам, а как взвешенное среднее множества эталонов мира — здесь тот же принцип реализуется на орбите и в реальном времени.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28.6.1  Принцип составной шкалы и экономика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теории композитных часов системное время вычисляется обратно-дисперсионным взвешиванием всех бортовых стандартов: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σ_ens²(τ) = frac1dfracN_термσ_CSAC²(τ) + dfracN_якорσ_Rb²(τ)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N_терм=300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CSAC и </w:t>
      </w:r>
      <w:r>
        <w:rPr>
          <w:rFonts w:ascii="Courier New" w:hAnsi="Courier New"/>
          <w:b w:val="0"/>
          <w:i w:val="0"/>
          <w:color w:val="000000"/>
          <w:sz w:val="28"/>
        </w:rPr>
        <w:t>N_якор=15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space-Rb системная шкала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σ_y(1 с) ≈ 2,6 × 10⁻¹²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уровня space-Rb, хотя дорогой стандарт стоит лишь на 15 якорях. CSAC-терминалу достаточно удерживать шкалу между ISL-обновлениями (~10 с), а долговременную стабильность задаёт ансамбль якорей. При относительной стоимости space-Rb ≈ 10× CSAC стоимость часового сегмента снижается с 3000 ед. (space-Rb на всех 300 КА) до </w:t>
      </w:r>
      <w:r>
        <w:rPr>
          <w:rFonts w:ascii="Times New Roman" w:hAnsi="Times New Roman"/>
          <w:b/>
          <w:i w:val="0"/>
          <w:color w:val="000000"/>
          <w:sz w:val="28"/>
        </w:rPr>
        <w:t>450 ед.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(300 CSAC + 15 space-Rb) — </w:t>
      </w:r>
      <w:r>
        <w:rPr>
          <w:rFonts w:ascii="Times New Roman" w:hAnsi="Times New Roman"/>
          <w:b/>
          <w:i w:val="0"/>
          <w:color w:val="000000"/>
          <w:sz w:val="28"/>
        </w:rPr>
        <w:t>на ≈ 85 %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сохранении системной шкалы уровня space-Rb.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40676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semble_timescale_phase4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40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SHIWA TIME-Space: ансамблевый эталон и экономика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28.6.2  Относительная синхронизация и прослеживаемость к UTC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Метрологически строго разделяются два понятия: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взаимная согласованность бортовых часов между собой. Именно её оптимизирует ансамбль;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 это и есть главное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взаимное согласие часов всех КА напрямую определяет точность псевдодальностей (§12), а не привязка каждого к UTC по отдельности.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Прослеживаемость к UTC(SU)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абсолютная привязка шкалы к национальному эталону через якорные узлы (space-Rb с TWSTT к земле + H-мазер Ч1-1008, §8). Ансамбль может быть идеально согласован внутри, но без якоря смещён относительно UTC.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Ансамблевый подход даёт наилучшую относительную согласованность (ключевую для ранжирования) и наследует прослеживаемость к UTC(SU) от якорей, распределяя её по всему созвездию.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28.6.3  Обработка асимметрии ISL — детерминированное преимущество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Асимметрия канала «туда/обратно» — доминирующий источник погрешности абсолютного смещения, и статистикой пакетов сама по себе не устраняется (требуется калибровка). </w:t>
      </w:r>
      <w:r>
        <w:rPr>
          <w:rFonts w:ascii="Times New Roman" w:hAnsi="Times New Roman"/>
          <w:b/>
          <w:i w:val="0"/>
          <w:color w:val="000000"/>
          <w:sz w:val="28"/>
        </w:rPr>
        <w:t>Принципиальное отличие космического сегмента: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наземной IP-сети асимметрия случайна (разные маршруты, очереди, длины волокон), а на ISL она </w:t>
      </w:r>
      <w:r>
        <w:rPr>
          <w:rFonts w:ascii="Times New Roman" w:hAnsi="Times New Roman"/>
          <w:b/>
          <w:i w:val="0"/>
          <w:color w:val="000000"/>
          <w:sz w:val="28"/>
        </w:rPr>
        <w:t>детерминирована и вычислима по эфемеридам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(движение КА, релятивистский член §28.3, эффект Саньяка §33.4). SHIWA TIME-Space снимает её двусторонним обменом метками (TWSTT, §8.3): симметричная часть сокращается, остаточная — корректируется аналитически. Поэтому орбитальный ансамбль достигает </w:t>
      </w:r>
      <w:r>
        <w:rPr>
          <w:rFonts w:ascii="Times New Roman" w:hAnsi="Times New Roman"/>
          <w:b/>
          <w:i w:val="0"/>
          <w:color w:val="000000"/>
          <w:sz w:val="28"/>
        </w:rPr>
        <w:t>лучшей абсолютной прослеживаемости, чем наземные пакетные сети</w:t>
      </w:r>
      <w:r>
        <w:rPr>
          <w:rFonts w:ascii="Times New Roman" w:hAnsi="Times New Roman"/>
          <w:b w:val="0"/>
          <w:i w:val="0"/>
          <w:color w:val="000000"/>
          <w:sz w:val="28"/>
        </w:rPr>
        <w:t>, где асимметрию приходится измерять эмпирически.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28.6.4  Консенсус и взвешивание узлов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Распределённый слой управления (как в наземном SHIWA TIME, §28.4) работает без единого грандмастера: вклад каждого узла в ансамбль определяется метрикой качества (score) по совокупности факторов — стабильность бортовых часов (ADEV), качество ISL-линии (C/N₀, потери), наблюдаемое смещение и его джиттер, тренд дрейфа. Якоря space-Rb получают наибольший вес, CSAC-терминалы — меньший; аномальный (сбойный или подменённый) узел выявляется на фоне согласованного большинства и отбраковывается по весу/кворуму. Переключение источников — с гистерезисом (устойчивость к «флапам»).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28.6.5  Холдовер и устойчивость к потере привязки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якорной привязки (глушение/спуфинг GNSS у земли, изоляция сегмента) действуют два независимых эффекта: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Относительная синхронизация сохраняется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ансамбль продолжает удерживать КА согласованными между собой по ISL; созвездие не «разваливается» по фазе. Это ключевое преимущество перед схемой с единым источником.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Абсолютная привязка к UTC дрейфует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со скоростью, заданной стабильностью якорных осцилляторов (ADEV) — физический предел, общий для любой системы (количественно — §8.6: UTC-дрейф &lt; 30 нс за 72 ч на space-Rb-якорях).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Таким образом 300-КА ансамбль переживает отказ отдельных узлов и потерю GNSS без разрушения системной шкалы — самовосстанавливающийся орбитальный эталон.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28.6.6  Безопасность, частота и суверенность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Безопасность ансамблем.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Чтобы сдвинуть системную шкалу, атакующему нужно скомпрометировать многие КА одновременно, а не один источник; служебный ISL-обмен SHIWA TIME-Space защищается криптографией ГОСТ (§16: аутентификация, целостность, защита от повторов), аномалии детектируются консенсусом.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Эталон не только времени, но и частоты.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Непрерывное сравнение бортовых осцилляторов по ISL даёт частотную стабильность ансамбля — основу для синхронизации частоты в наземных сетях (телеком, энергетика).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Суверенный распределённый эталон.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Орбитальный ансамбль АВРОРА, привязанный к UTC(SU)/H-мазеру Ч1-1008, образует национальную шкалу времени и частоты, устойчивую к подавлению GNSS и независимую от зарубежных систем, — основу суверенной временно́й инфраструктуры (§28.4 доводит её до наземных потребителей через SHIWA TIME-Ground).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28.6.7  Бюджет неопределённости орбитального ансамбля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Природа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Разрешение метки времени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аппаратная (~нс)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высокоразрешающие бортовые метки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Асимметрия ISL (релят./Саньяк/геометрия)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детерминированная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 + коррекция по эфемеридам (§28.3, §33)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Шум/дрейф CSAC-терминала (холдовер)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стохастическая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дисциплинирование по ансамблю каждые ~10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Неопределённость якорей и привязки к UTC(SU)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метрологическая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+ H-мазер Ч1-1008, TWSTT к земле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Остаточная ошибка алгоритма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алгоритмическая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взвешивание, отбраковка по консенсусу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Модель ансамбля — </w:t>
      </w:r>
      <w:r>
        <w:rPr>
          <w:rFonts w:ascii="Courier New" w:hAnsi="Courier New"/>
          <w:b w:val="0"/>
          <w:i w:val="0"/>
          <w:color w:val="7B0000"/>
          <w:sz w:val="22"/>
        </w:rPr>
        <w:t>aurora/pnt/ensemble_timescale.py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ensemble-timescale</w:t>
      </w:r>
      <w:r>
        <w:rPr>
          <w:rFonts w:ascii="Times New Roman" w:hAnsi="Times New Roman"/>
          <w:b w:val="0"/>
          <w:i w:val="0"/>
          <w:color w:val="000000"/>
          <w:sz w:val="28"/>
        </w:rPr>
        <w:t>); количественная деградация при автономии — §8.6.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(комбинир.)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MEO-ГНСС (одиночная)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13809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MEO-ГНСС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(49.155)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Распределённый ансамблевый эталон (SHIWA TIME-Space)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ensemble_timescale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(64.158)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60012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8498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8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ПРОМЫШЛЕННАЯ КООПЕРАЦИЯ И ИМПОРТОЗАМЕЩЕНИЕ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Принцип кооперации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Суверенный характер АВРОРА требует построения системы на </w:t>
      </w:r>
      <w:r>
        <w:rPr>
          <w:rFonts w:ascii="Times New Roman" w:hAnsi="Times New Roman"/>
          <w:b/>
          <w:i w:val="0"/>
          <w:color w:val="000000"/>
          <w:sz w:val="28"/>
        </w:rPr>
        <w:t>российской промышленной кооперации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отечественной элементной базе. АВРОРА — </w:t>
      </w:r>
      <w:r>
        <w:rPr>
          <w:rFonts w:ascii="Times New Roman" w:hAnsi="Times New Roman"/>
          <w:b/>
          <w:i w:val="0"/>
          <w:color w:val="000000"/>
          <w:sz w:val="28"/>
        </w:rPr>
        <w:t>малый спутник ~140 кг (§19), не CubeSat</w:t>
      </w:r>
      <w:r>
        <w:rPr>
          <w:rFonts w:ascii="Times New Roman" w:hAnsi="Times New Roman"/>
          <w:b w:val="0"/>
          <w:i w:val="0"/>
          <w:color w:val="000000"/>
          <w:sz w:val="28"/>
        </w:rPr>
        <w:t>: операционный аппарат с навигационной ПН (включая высокомощный Сервис Б, §65), атомными часами, ISL и двигательной установкой не размещается в формате CubeSat (≤16U). Поэтому кооперация разделена на два контура: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Демонстраторы Фаз 0–1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(3–12 КА, §4.3) — могут использовать укрупнённые </w:t>
      </w:r>
      <w:r>
        <w:rPr>
          <w:rFonts w:ascii="Times New Roman" w:hAnsi="Times New Roman"/>
          <w:b/>
          <w:i w:val="0"/>
          <w:color w:val="000000"/>
          <w:sz w:val="28"/>
        </w:rPr>
        <w:t>CubeSat-платформы 16U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российских производителей для дешёвой лётной проверки отдельных элементов (генерация сигнала, ISL-линия, дисциплина бортовых часов);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Операционные КА Фаз 2–4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(140 кг) — требуют малоспутниковой платформы промышленного уровня и навигационной ПН, изготавливаемой предприятиями ракетно-космической отрасли.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Карта кооперации (потребность → исполнитель)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Слой системы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Потенциальный исполнитель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операционного КА (140 кг)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«ИСС» им. Решетнёва; ГК «СПУТНИКС»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головной изготовитель малоспутниковой платформы, серия 300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демонстратора (16U)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 «СПУТНИКС»; ГК «Геоскан»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лётная проверка элементов на укрупнённом CubeSat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Ф0–Ф1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и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«Российские космические системы» (РКС)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нав-аппаратура, частотно-временное обеспечение,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атомные часы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«ШИВА НЕТВОРК» (CSAC «КПН», space-Rb Quantum-18)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бортовые стандарты частоты (§8)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времени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ОАО «Время-Ч»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 Ч1-1008, групповой эталон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ОКБ «Факел»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ДУ удержания и увода с орбиты (§22, §40)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Средства выведения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«РКЦ "Прогресс"»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носители, попутный/кластерный вывод (§53)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Контейнеры и отделение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ООО «КосмоЛаб» (системы до 500 кг); Aerospace Capital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механическая адаптация и отделение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приёма/обработки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АО «СКАНЭКС»; собственные станции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приём, обработка, доведение данных (§54)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Ф1–Ф4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Компоненты, летная квалификация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НИЯУ МИФИ и вузовские лаборатории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приборы, датчики, импортозамещающая электроника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Государственные корпорации и ключевые партнёры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«Российские космические системы» (РКС)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стратегический партнёр по навигации: бортовая навигационная аппаратура, частотно-временно́е обеспечение и шкала UTC(SU), наземный комплекс управления ГЛОНАСС. Позиционирование АВРОРА как </w:t>
      </w:r>
      <w:r>
        <w:rPr>
          <w:rFonts w:ascii="Times New Roman" w:hAnsi="Times New Roman"/>
          <w:b/>
          <w:i w:val="0"/>
          <w:color w:val="000000"/>
          <w:sz w:val="28"/>
        </w:rPr>
        <w:t>LEO-усиления ГЛОНАСС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напрямую соответствует компетенции РКС; совместный проект РКС и МГТУ им. Н. Э. Баумана (≈100 × CubeSat 6U с навигационными ПН) служит образцом серийной кооперации.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АО «ИСС» им. академика М. Ф. Решетнёва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изготовитель спутников ГЛОНАСС (ГЛОНАСС-К) и связных КА; естественный головной изготовитель платформы операционного нав-аппарата.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Госкорпорация «Роскосмос»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частотно-орбитальная заявка через ГКРЧ/МСЭ (критично для выделенной L-полосы Сервиса Б, §43, §65), пусковые услуги, общесистемная координация.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ОАО «Время-Ч»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наземный водородный эталон (Ч1-1008), уже заложен в часовую архитектуру (§8).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ОКБ «Факел»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двигательные установки (применяется на ГЛОНАСС и связных 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Привязка к фазам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Кооперация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Ф0 (демо)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Платформа 16U (СПУТНИКС/Геоскан) + урезанная ПН; вывод — РКЦ «Прогресс» (попутный); земля — СКАНЭКС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Демонстрация ISL и LPT; РКС — навигационная ПН; ШИВА НЕТВОРК — часы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Ф2–Ф4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90→300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Серийная платформа (ИСС Решетнёва/СПУТНИКС); РКС — нав-ПН/время; Факел — ДУ; РКЦ «Прогресс» — кластерный вывод; КосмоЛаб — отделение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66.5  Импортозамещение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Кооперация полностью отечественная; критические бортовые системы (часы, навигационная ПН, ДУ, вычислители) проходят лётную квалификацию на демонстраторах Фаз 0–1 до серийного применения, что снижает риски крупной группировки и накапливает статистику по российской компонентной базе. Зарубежные изделия в составе АВРОРА не применяются.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67.4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68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Relationship Id="rId193" Type="http://schemas.openxmlformats.org/officeDocument/2006/relationships/image" Target="media/image1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