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128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Принцип составной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Ансамбль устойчивее любого отдельного дешёвого стандарта: 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Обработка асимметрии ISL.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отличие от наземного «счастливого пакета», на ISL задержка детерминирована, но асимметрична (движение КА, релятивистика, Саньяк, разные пути «туда/обратно»). SHIWA TIME-Space снимает асимметрию двусторонним обменом метками (TWSTT, §8.3): симметричная часть задержки сокращается, остаточная — корректируется по эфемеридам (релятивистский член §28.3, Саньяк). Распределённый слой консенсуса (как в наземном варианте, §28.4) выбирает вклад каждого узла по измеренной стабильности, без единой точки отказа.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Экономический эффект.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>, при сохранении системной шкалы уровня space-Rb. Это и есть цель развития: суверенный распределённый эталон на группировке без дорогих стандартов на каждом аппарате.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4067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4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(49.155)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