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ООО «ШИВА НЕТВОРК» (ShiwaNetwork)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АВРОРА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АВРОРА-ТП-001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183 рис., 126 табл., 46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АВРОРА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АВРОРА,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(AURORA)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 (наименование системы; в тексте — АВРОРА, в коде/путях —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АВРОРА)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ПЗ-90.11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Параметры Земли 1990 (уточнение 2011) — геодезический датум РФ/ГЛОНАСС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ITRF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Terrestrial Reference Frame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Earth Orientation Parameters (параметры вращения Земли: UT1−UTC, координаты полюса)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ECI / ECEF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инерциальная / связанная с Землёй система координат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TGD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Group Delay (межчастотная аппаратная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DCB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Differential Code Bias (дифференциальное кодовое смещение)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защищённый Сервис Б (§65) на +23 дБ сильнее сигнала MEO-ГНСС (ГЛОНАСС) → порог подавления в 200 раз выше по мощности; открытый Сервис А (RNSS-совместимый) — +11 дБ в рамках маски ПФП МСЭ.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L1 (1575,42 МГц), L5 (1176,45 МГц); Сервис Б: выдел. L-полоса (§65)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5 Вт (L1), 3 Вт (L5); Сервис Б: 30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передатчика L1/L5, антенна RHCP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90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35–40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АВРОРА)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ГНСС/АВРОРА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АВРОРА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АВРОРА LEO vs MEO-ГНСС (ГЛОНАСС):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LEO vs ГЛОНАСС (MEO): преимущество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более сильный сигнал по сравнению с MEO-ГНСС (ГЛОНАСС, ~19 100 км): защищённый Сервис Б в выделенной полосе — на +23 дБ (×200 устойчивости к подавлению), открытый Сервис А в RNSS-полосе — на +11 дБ под маской ПФП МСЭ (см. двухсервисную архитектуру §65).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АВРОРА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АВРОРА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GPS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MEO-ГНСС (ГЛОНАСС)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(24 спутника, 19 100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АВРОРА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АВРОРА L1: ≈ −107 дБм у Сервиса Б (выделенная полоса) и −119 дБм у Сервиса А (RNSS), против −130 дБм MEO-ГНСС (§65)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АВРОРА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АВРОРА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АВРОРА):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АВРОРА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АВРОРА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АВРОРА: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 + TGD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 + межчастотная задержка TGD (§37.4)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АВРОРА−UTC, АВРОРА−GPS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Rb (Quantum-18, космический)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space-Rb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1 × 10⁻¹¹ × √(100) × 10⁹ = 1 × 10⁻¹¹ × 10 × 10⁹ ≈ 100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1 × 10⁻¹¹ × √(3600) × 10⁹ = 1 × 10⁻¹¹ × 60 × 10⁹ ≈ 0,6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АВРОРА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при угле 30° → FSPL ≈ 183,6 дБ (разница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Ниже — бюджет </w:t>
      </w:r>
      <w:r>
        <w:rPr>
          <w:rFonts w:ascii="Times New Roman" w:hAnsi="Times New Roman"/>
          <w:b/>
          <w:i w:val="0"/>
          <w:color w:val="000000"/>
          <w:sz w:val="28"/>
        </w:rPr>
        <w:t>открытого Сервиса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(RNSS-полоса, под маской ПФП МСЭ). Бюджет </w:t>
      </w:r>
      <w:r>
        <w:rPr>
          <w:rFonts w:ascii="Times New Roman" w:hAnsi="Times New Roman"/>
          <w:b/>
          <w:i w:val="0"/>
          <w:color w:val="000000"/>
          <w:sz w:val="28"/>
        </w:rPr>
        <w:t>защищённого Сервиса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полоса, EIRP +21,3 дБВт, </w:t>
      </w:r>
      <w:r>
        <w:rPr>
          <w:rFonts w:ascii="Courier New" w:hAnsi="Courier New"/>
          <w:b w:val="0"/>
          <w:i w:val="0"/>
          <w:color w:val="000000"/>
          <w:sz w:val="28"/>
        </w:rPr>
        <w:t>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−107 дБм, +23 дБ) приведён в §65.2.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(ГЛОНАСС/GPS)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MEO-ГНСС: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(зенит):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→ помехе нужна мощность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больше, чем для подавления GPS на той же высоте.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(АВРОРА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GPS: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575 Вт (превышение в 575 раз)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ГЛОНАСС — Сервис 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Защищённый Сервис Б (выделенная полоса, §65) даёт мощность сигнала на 200× выше, чем у MEO-ГНСС; открытый Сервис А — +11 дБ (×11) в рамках маски ПФП МСЭ.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АВРОРА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 (5,1 % скорости навигационного сообщения 250 бит/с)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5681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5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АВРОРА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А (L1/L5, RNSS)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Б (выдел. L, 30 Вт РЧ)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198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Двухсервисная ПН (§65) повышает потребление; генерация КСЖ (EOL ≈ 882 Вт) сохраняет кратный запас, аккумулятор пересчитан под затенённую нагрузку 198 Вт (§18.3).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Энергия за период затенения (с учётом двухсервисной ПН, </w:t>
      </w:r>
      <w:r>
        <w:rPr>
          <w:rFonts w:ascii="Courier New" w:hAnsi="Courier New"/>
          <w:b w:val="0"/>
          <w:i w:val="0"/>
          <w:color w:val="000000"/>
          <w:sz w:val="28"/>
        </w:rPr>
        <w:t>P_eclipse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198 Вт):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198 × (0,34 × 6305) ≈ 424 кДж ≈ 118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147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160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3S×20P).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198 × 35 × 60 ≈ 416 кДж = 115,5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АВРОРА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для GPS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6592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АВРОРА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──[АВРОРА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АВРОРА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Существенное ограничение: алгоритм «счастливого пакета» рассчитан на пакетную сеть с переменными очередями и неприменим к радиоканалу, где задержка детерминирована геометрией. Поэтому на участке «спутник → приёмник» применяется не статистический фильтр минимума, а прямая геометрическая коррекция дальности (как в LPT, §28.3); SHIWA TIME остаётся протоколом наземного сегмента. Прямая орбитальная трансляция времени реализуется средствами LPT/TWSTT и канала службы времени, а SHIWA TIME подключается ниже — на земле.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(АВРОРА-ТЭО-001):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АВРОРА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АВРОРА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АВРОРА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АВРОРА vs MEO-ГНСС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(стандарт, 1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MEO (19 100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АВРОРА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АВРОРА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АВРОРА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АВРОРА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АВРОРА,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37.4  Межчастотная аппаратная задержка (TGD/DCB)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Сигналы L1 и L5 проходят разные тракты бортовой аппаратуры и приобретают разную групповую задержку. Их разность — </w:t>
      </w:r>
      <w:r>
        <w:rPr>
          <w:rFonts w:ascii="Times New Roman" w:hAnsi="Times New Roman"/>
          <w:b/>
          <w:i w:val="0"/>
          <w:color w:val="000000"/>
          <w:sz w:val="28"/>
        </w:rPr>
        <w:t>TGD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(Timing Group Delay) / </w:t>
      </w:r>
      <w:r>
        <w:rPr>
          <w:rFonts w:ascii="Times New Roman" w:hAnsi="Times New Roman"/>
          <w:b/>
          <w:i w:val="0"/>
          <w:color w:val="000000"/>
          <w:sz w:val="28"/>
        </w:rPr>
        <w:t>DCB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(Differential Code Bias) — обязательна к учёту: типовая величина ≈ 5 нс (≈ 1,5 м по дальности).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Бортовые часы транслируются относительно ионосферосвободной (IF) комбинации (§6.1), поэтому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компенсирует TGD автоматически; остаётся лишь остаток наземной калибровки DCB и температурный дрейф межчастотного смещения, усиленный коэффициентами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σ_TGD,dual = √(α_1² + α_2²) · σ_DCB = 2,59 · σ_DCB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наземной калибровке DCB до </w:t>
      </w:r>
      <w:r>
        <w:rPr>
          <w:rFonts w:ascii="Courier New" w:hAnsi="Courier New"/>
          <w:b w:val="0"/>
          <w:i w:val="0"/>
          <w:color w:val="000000"/>
          <w:sz w:val="28"/>
        </w:rPr>
        <w:t>σ_DCB ≈ 0,10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 остаток составляет ≈ 0,26 нс ≈ </w:t>
      </w:r>
      <w:r>
        <w:rPr>
          <w:rFonts w:ascii="Times New Roman" w:hAnsi="Times New Roman"/>
          <w:b/>
          <w:i w:val="0"/>
          <w:color w:val="000000"/>
          <w:sz w:val="28"/>
        </w:rPr>
        <w:t>0,08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часовой член бюджета UERE (0,20 м, §37.3), не являясь ограничивающим фактором. </w:t>
      </w:r>
      <w:r>
        <w:rPr>
          <w:rFonts w:ascii="Times New Roman" w:hAnsi="Times New Roman"/>
          <w:b/>
          <w:i w:val="0"/>
          <w:color w:val="000000"/>
          <w:sz w:val="28"/>
        </w:rPr>
        <w:t>Одночастотный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применяет транслируемый параметр TGD из навигационного сообщения (§7); его остаток (квантование + временна́я нестабильность) ≈ </w:t>
      </w:r>
      <w:r>
        <w:rPr>
          <w:rFonts w:ascii="Times New Roman" w:hAnsi="Times New Roman"/>
          <w:b/>
          <w:i w:val="0"/>
          <w:color w:val="000000"/>
          <w:sz w:val="28"/>
        </w:rPr>
        <w:t>0,09 м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TGD периодически калибруется наземным сегментом (§54) и обновляется в навигационном сообщении.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13809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gd_dcb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Вклад TGD/DCB в UERE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АВРОРА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АВРОРА.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 (Сервис Б)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Б (+23 дБ, ×200); Сервис А −119 дБм (+11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АВРОРА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АВРОРА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АВРОРА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АВРОРА сопоставима с MEO GNSS (несколько уступая GPS/Galileo), а в автономном режиме её геометрия (PDOP p95 ≈ 5) даже хуже из-за специфики LEO. Реальные преимущества АВРОРА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АВРОРА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АВРОРА — на суверенном российском сегменте и арктических регионах. Наклонение 75° у АВРОРА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ГЛОНАСС (MEO)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АВРОРА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 vs Moonlight: АВРОРА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АВРОРА: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(42.142)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АВРОРА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АВРОРА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АВРОРА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АВРОРА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АВРОРА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АВРОРА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АВРОРА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АВРОРА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ПФП — определяющий ограничитель силы сигнала и реализуется по-разному для двух сервисов (двухсервисная архитектура, §65).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 (открытый, RNSS-полоса).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+9 дБВт (5 Вт + 3,5 дБи).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PFD_А = EIRP - 10log(4π R²) = 9 - 131 = -122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Сервис А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~0,5 дБ. Для сравнения: PFD GPS Block III ≈ −128 дБВт/м² (EIRP ≈ +30 дБВт, R = 20 200 км). Именно эта маска ограничивает преимущество открытого сервиса значением </w:t>
      </w:r>
      <w:r>
        <w:rPr>
          <w:rFonts w:ascii="Times New Roman" w:hAnsi="Times New Roman"/>
          <w:b/>
          <w:i w:val="0"/>
          <w:color w:val="000000"/>
          <w:sz w:val="28"/>
        </w:rPr>
        <w:t>≈ +11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выше неё в общей с GPS/ГЛОНАСС полосе подниматься нельзя.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Б (защищённый, выделенная полоса АВРОРА).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+21,3 дБВт (30 Вт + 8 дБи), ПФП ≈ −110 дБВт/м². В собственной полосе с первичным статусом (модель Xona/Iridium STL) эта ПФП допустима и даёт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снижения орбиты. Требует выделения национального частотного ресурса и координации ГКРЧ/МСЭ; не накладывается на защищённые сигналы GPS/ГЛОНАСС/Galileo и потому не нарушает их защиту. Официальный расчёт EPFD по обоим сервисам —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АВРОРА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АВРОРА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АВРОРА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(46.150)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АВРОРА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АВРОРА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53368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5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АВРОРА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79776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58568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5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053840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crypto_auth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(Стрибог/34.10/Кузнечик)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accuracy_paths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Геодезическая система отсчёта ПЗ-90.11 / EOP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reference_frame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Межчастотная задержка TGD/DCB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§37.4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tgd_dcb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Двухсервисная архитектура (А открытый / Б защищённый)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dual_service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2213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2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АВРОРА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ГЕОДЕЗИЧЕСКАЯ СИСТЕМА ОТСЧЁТА И ПАРАМЕТРЫ ВРАЩЕНИЯ ЗЕМЛИ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Пространственный датум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Координатная основа АВРОРА — государственная геодезическая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(«Параметры Земли 1990», уточнение 2011 г.), та же, что у ГЛОНАСС. Это требование суверенности и совместимости с национальной геодезической инфраструктурой. Положения КА, эфемериды и решение пользователя выражаются в ПЗ-90.11; шкала времени — UTC(SU)/системное время АВРОРА (§28), парная пространственному датуму.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ПЗ-90.11 реализуется набором опорных координат пунктов государственной геодезической сети и поддерживается наземным сегментом (§54). Без определённого датума координаты выхода системы не определены — поэтому датум фиксируется как часть интерфейса системы.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Трансформации к ITRF и WGS-84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ПЗ-90.11 целенаправленно совмещён с международной системой </w:t>
      </w:r>
      <w:r>
        <w:rPr>
          <w:rFonts w:ascii="Times New Roman" w:hAnsi="Times New Roman"/>
          <w:b/>
          <w:i w:val="0"/>
          <w:color w:val="000000"/>
          <w:sz w:val="28"/>
        </w:rPr>
        <w:t>ITRF2008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преобразование сводится практически к одному сдвигу (по официальным данным ГЛОНАСС ИКД и материалам ИКГ ООН):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+0,003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Z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Вращения ωx, ωy, ωz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7-параметрическое преобразование Гельмерта: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r_ITRF = T + (1+m) R(ω_x,ω_y,ω_z) r_PZ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Полный сдвиг между ПЗ-90.11 и ITRF2008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|Δr| ≈ 3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Поскольку WGS-84 (G1762) и Galileo GTRF также согласованы с ITRF2008 на сантиметровом уровне, координатная основа АВРОРА </w:t>
      </w:r>
      <w:r>
        <w:rPr>
          <w:rFonts w:ascii="Times New Roman" w:hAnsi="Times New Roman"/>
          <w:b/>
          <w:i w:val="0"/>
          <w:color w:val="000000"/>
          <w:sz w:val="28"/>
        </w:rPr>
        <w:t>совместима с ГЛОНАСС, GPS и Galileo без потери точности на трансформации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критично для комбинированного режима (§29) и PPP-RTK (§44).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Параметры вращения Земли (EOP)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перехода между инерциальной (ECI) и связанной с Землёй (ECEF) системами в реальном времени необходимы прогнозируемые </w:t>
      </w:r>
      <w:r>
        <w:rPr>
          <w:rFonts w:ascii="Times New Roman" w:hAnsi="Times New Roman"/>
          <w:b/>
          <w:i w:val="0"/>
          <w:color w:val="000000"/>
          <w:sz w:val="28"/>
        </w:rPr>
        <w:t>параметры вращения Земли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разность </w:t>
      </w:r>
      <w:r>
        <w:rPr>
          <w:rFonts w:ascii="Times New Roman" w:hAnsi="Times New Roman"/>
          <w:b/>
          <w:i w:val="0"/>
          <w:color w:val="000000"/>
          <w:sz w:val="28"/>
        </w:rPr>
        <w:t>UT1−UTC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координаты полюса </w:t>
      </w:r>
      <w:r>
        <w:rPr>
          <w:rFonts w:ascii="Times New Roman" w:hAnsi="Times New Roman"/>
          <w:b/>
          <w:i w:val="0"/>
          <w:color w:val="000000"/>
          <w:sz w:val="28"/>
        </w:rPr>
        <w:t>(xp, yp)</w:t>
      </w:r>
      <w:r>
        <w:rPr>
          <w:rFonts w:ascii="Times New Roman" w:hAnsi="Times New Roman"/>
          <w:b w:val="0"/>
          <w:i w:val="0"/>
          <w:color w:val="000000"/>
          <w:sz w:val="28"/>
        </w:rPr>
        <w:t>. Ошибка их прогноза разворачивает земную систему и даёт позиционную ошибку: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r_UT1 ≈ R_⊕ ω_⊕ δ(UT1), δ r_pole ≈ R_⊕ δθ_pole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(64.157)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прогноза UT1−UTC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UT1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полюса (3 mas)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оперативном обновлении EOP (UT1 прогнозируется с ошибкой ≤ 0,1 мс, полюс ≤ 3 mas) вклад в позиционную ошибку удерживается в пределах </w:t>
      </w:r>
      <w:r>
        <w:rPr>
          <w:rFonts w:ascii="Times New Roman" w:hAnsi="Times New Roman"/>
          <w:b/>
          <w:i w:val="0"/>
          <w:color w:val="000000"/>
          <w:sz w:val="28"/>
        </w:rPr>
        <w:t>≈ 0,1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допустимо относительно бюджета UERE (§37.3). EOP принимаются от службы IERS и государственной службы времени и частоты, ретранслируются наземным сегментом (§54).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60012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frame_phase4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6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Геодезическая система отсчёта и EOP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Реализация и поддержание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Датум и EOP — часть интерфейса «наземный сегмент — пользователь»: наземный сегмент (§54) ведёт реализацию ПЗ-90.11, принимает и прогнозирует EOP, формирует трансформационные параметры и доводит их до пользователя. Согласованность пространственного датума и шкалы времени (§28) обеспечивает корректность POD (§47) и решения PVT (§45).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ДВУХСЕРВИСНАЯ АРХИТЕКТУРА СИГНАЛОВ (ОТКРЫТЫЙ А / ЗАЩИЩЁННЫЙ 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65.1  Принцип: два сервиса с одной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формирует с одной группировки (1000 км) </w:t>
      </w:r>
      <w:r>
        <w:rPr>
          <w:rFonts w:ascii="Times New Roman" w:hAnsi="Times New Roman"/>
          <w:b/>
          <w:i w:val="0"/>
          <w:color w:val="000000"/>
          <w:sz w:val="28"/>
        </w:rPr>
        <w:t>два независимых навигационных сервиса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разными полосами и регуляторными режимами по плотности потока мощности (ПФП). Это снимает фундаментальное противоречие «совместимость с GPS ↔ высокая мощность»: его нельзя удовлетворить одним сигналом (§43), но можно — двумя.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 — открытый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 — защищённый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Полоса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RNSS (наложение на GPS/Galileo)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выделенная L-полоса АВРОРА (первичный статус)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ПФП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маска МСЭ-R −121,5 дБВт/м²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собственная полоса (как Xona/Iridium)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по сигналу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GNSS-совместимый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 приёмник 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масс-маркет, комбинир. с ГЛОНАСС, интероп.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помехозащита, помещения, суверенный аутентиф. PNT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65.2  Бюджеты и ПФП обоих сервисов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+3,5 дБи (изо-flux)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+8 дБи (изо-flux, фаз. решётка)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EIRP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+9 дБВт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+21,3 дБВт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ПФП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−122 дБВт/м² (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комплаенс МСЭ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−110 дБВт/м² (своя полоса)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Принимаемая мощность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−119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53 дБ·Гц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 дБ·Гц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над MEO-ГНСС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помехозащиты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×200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Ключевой момент: </w:t>
      </w:r>
      <w:r>
        <w:rPr>
          <w:rFonts w:ascii="Times New Roman" w:hAnsi="Times New Roman"/>
          <w:b/>
          <w:i w:val="0"/>
          <w:color w:val="000000"/>
          <w:sz w:val="28"/>
        </w:rPr>
        <w:t>орбиту снижать не требуется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Сервис Б достигает +23 дБ за счёт собственной полосы и повышенного EIRP (30 Вт + 8 дБи), а не приближения к Земле. Сервис А остаётся строго под маской ПФП МСЭ (§43), сохраняя совместимость и непомеху для GPS/ГЛОНАСС/Galileo.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65.3  Позиционирование относительно конкурентов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Преимущество над GPS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GPS/ГЛОНАСС (MEO)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(референс)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~20 000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 (совместимый)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+20 дБ (×100)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~550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L/C-полоса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Iridium STL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 (×1000)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MSS-полоса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ставит АВРОРА в один ряд с Xona и Iridium STL по силе сигнала и помехозащите, </w:t>
      </w:r>
      <w:r>
        <w:rPr>
          <w:rFonts w:ascii="Times New Roman" w:hAnsi="Times New Roman"/>
          <w:b/>
          <w:i w:val="0"/>
          <w:color w:val="000000"/>
          <w:sz w:val="28"/>
        </w:rPr>
        <w:t>не снижая орбиту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(выигрыш в покрытии/числе КА). При этом конкуренты дают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мощный сигнал в своей полосе (Xona/Iridium),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GNSS-совместимость (MEO) — </w:t>
      </w:r>
      <w:r>
        <w:rPr>
          <w:rFonts w:ascii="Times New Roman" w:hAnsi="Times New Roman"/>
          <w:b/>
          <w:i w:val="0"/>
          <w:color w:val="000000"/>
          <w:sz w:val="28"/>
        </w:rPr>
        <w:t>АВРОРА уникально даёт оба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сервиса с одной группировки.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65.4  Влияние на платформу и применение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повышает энергопотребление полезной нагрузки (доп. ~30 Вт РЧ → ~75 Вт DC), что учтено в энергобюджете (§18). Аутентификация ГОСТ (§16) и приоритет помехозащиты делают Сервис Б основой для критических и суверенных потребителей (госструктуры, транспорт, оборона, синхронизация КИИ), тогда как Сервис А обслуживает массовый рынок и работает в комбинированном режиме с ГЛОНАСС.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aurora/pnt/dual_service.py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dual-service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38498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service_phase4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38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Двухсервисная архитектура: сигнал и ПФП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66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ГЛОНАСС (MEO) делает АВРОРА: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 (CSAC «КПН», space-Rb Quantum-18, ШИВА НЕТВОРК) — закупка vs собственная разработка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 периметра настоящего ТП: ведётся отдельным проектом разработки стандартов частоты (ШИВА НЕТВОРК). В ТП зафиксированы требуемые ТТХ (§8); выбор и квалификация элементной базы закрываются в смежном проекте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вопросы в периметре настоящего технического проекта (OP-01…OP-05) закрыты. Вопрос OP-06 (элементная база стандартов частоты) вынесен за периметр ТП и закрывается в смежном проекте разработки бортовых атомных стандартов; в настоящем документе для него заданы граничные ТТХ (раздел 8).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67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— ООО «ШИВА НЕТВОРК» (ShiwaNetwork)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Relationship Id="rId190" Type="http://schemas.openxmlformats.org/officeDocument/2006/relationships/image" Target="media/image181.png"/><Relationship Id="rId191" Type="http://schemas.openxmlformats.org/officeDocument/2006/relationships/image" Target="media/image182.png"/><Relationship Id="rId192" Type="http://schemas.openxmlformats.org/officeDocument/2006/relationships/image" Target="media/image18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